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CA8" w:rsidRPr="00CE6412" w:rsidRDefault="00A27817" w:rsidP="00A257FD">
      <w:pPr>
        <w:pStyle w:val="Nadpis2"/>
        <w:rPr>
          <w:sz w:val="28"/>
        </w:rPr>
      </w:pPr>
      <w:r w:rsidRPr="006F284A">
        <w:rPr>
          <w:sz w:val="28"/>
        </w:rPr>
        <w:t>„</w:t>
      </w:r>
      <w:r w:rsidR="006A0E54" w:rsidRPr="006A0E54">
        <w:rPr>
          <w:sz w:val="28"/>
        </w:rPr>
        <w:t xml:space="preserve">Rekonstrukce TV v </w:t>
      </w:r>
      <w:proofErr w:type="spellStart"/>
      <w:r w:rsidR="006A0E54" w:rsidRPr="006A0E54">
        <w:rPr>
          <w:sz w:val="28"/>
        </w:rPr>
        <w:t>žst</w:t>
      </w:r>
      <w:proofErr w:type="spellEnd"/>
      <w:r w:rsidR="006A0E54" w:rsidRPr="006A0E54">
        <w:rPr>
          <w:sz w:val="28"/>
        </w:rPr>
        <w:t>. Přerov přednádraží, II. etapa</w:t>
      </w:r>
      <w:r w:rsidR="00416B54" w:rsidRPr="00CE6412">
        <w:rPr>
          <w:sz w:val="28"/>
        </w:rPr>
        <w:t>“</w:t>
      </w:r>
    </w:p>
    <w:p w:rsidR="00840CA8" w:rsidRPr="00CE6412" w:rsidRDefault="00840CA8" w:rsidP="00412DAD">
      <w:pPr>
        <w:pStyle w:val="Nadpis2"/>
        <w:spacing w:line="240" w:lineRule="auto"/>
        <w:ind w:left="360"/>
        <w:jc w:val="center"/>
        <w:rPr>
          <w:sz w:val="28"/>
          <w:szCs w:val="28"/>
        </w:rPr>
      </w:pPr>
      <w:r w:rsidRPr="00CE6412">
        <w:rPr>
          <w:sz w:val="28"/>
          <w:szCs w:val="28"/>
        </w:rPr>
        <w:t>TECHNICKÁ ZPRÁVA</w:t>
      </w:r>
    </w:p>
    <w:p w:rsidR="00840CA8" w:rsidRPr="0026467F" w:rsidRDefault="00840CA8" w:rsidP="00840CA8">
      <w:pPr>
        <w:rPr>
          <w:highlight w:val="yellow"/>
        </w:rPr>
      </w:pPr>
    </w:p>
    <w:p w:rsidR="00840CA8" w:rsidRPr="009F7741" w:rsidRDefault="00840CA8" w:rsidP="00840CA8">
      <w:pPr>
        <w:rPr>
          <w:b/>
        </w:rPr>
      </w:pPr>
      <w:r w:rsidRPr="00CE6412">
        <w:rPr>
          <w:b/>
        </w:rPr>
        <w:t>Identifikační údaje:</w:t>
      </w:r>
    </w:p>
    <w:p w:rsidR="00840CA8" w:rsidRPr="00CE6412" w:rsidRDefault="008625D7" w:rsidP="006A0E54">
      <w:pPr>
        <w:ind w:left="2835" w:hanging="2835"/>
      </w:pPr>
      <w:r>
        <w:t>Stavba:</w:t>
      </w:r>
      <w:r>
        <w:tab/>
      </w:r>
      <w:r w:rsidR="00413879">
        <w:t>„</w:t>
      </w:r>
      <w:r w:rsidR="006A0E54" w:rsidRPr="006A0E54">
        <w:t xml:space="preserve">Rekonstrukce TV v </w:t>
      </w:r>
      <w:proofErr w:type="spellStart"/>
      <w:r w:rsidR="006A0E54" w:rsidRPr="006A0E54">
        <w:t>žst</w:t>
      </w:r>
      <w:proofErr w:type="spellEnd"/>
      <w:r w:rsidR="006A0E54" w:rsidRPr="006A0E54">
        <w:t>. Přerov přednádraží, II. Etapa</w:t>
      </w:r>
      <w:r w:rsidR="00413879">
        <w:t>“</w:t>
      </w:r>
    </w:p>
    <w:p w:rsidR="00840CA8" w:rsidRPr="00CE6412" w:rsidRDefault="00840CA8" w:rsidP="00840CA8">
      <w:r w:rsidRPr="00CE6412">
        <w:t xml:space="preserve">Stupeň dokumentace: </w:t>
      </w:r>
      <w:r w:rsidRPr="00CE6412">
        <w:tab/>
      </w:r>
      <w:r w:rsidR="00AD1BA6">
        <w:t xml:space="preserve">Dokumentace </w:t>
      </w:r>
      <w:r w:rsidR="009C0D86">
        <w:t>pro stavební povolení</w:t>
      </w:r>
    </w:p>
    <w:p w:rsidR="00840CA8" w:rsidRPr="00CE6412" w:rsidRDefault="00840CA8" w:rsidP="00840CA8">
      <w:r w:rsidRPr="00CE6412">
        <w:t>Investor:</w:t>
      </w:r>
      <w:r w:rsidRPr="00CE6412">
        <w:tab/>
      </w:r>
      <w:r w:rsidRPr="00CE6412">
        <w:tab/>
      </w:r>
      <w:r w:rsidRPr="00CE6412">
        <w:tab/>
        <w:t>Správa železniční dopravní cesty, státní organizace,</w:t>
      </w:r>
    </w:p>
    <w:p w:rsidR="00840CA8" w:rsidRPr="00CE6412" w:rsidRDefault="00840CA8" w:rsidP="00840CA8">
      <w:pPr>
        <w:ind w:left="2835"/>
      </w:pPr>
      <w:r w:rsidRPr="00CE6412">
        <w:t>Dlážděná 1003/7, 110 00 Praha 1</w:t>
      </w:r>
    </w:p>
    <w:p w:rsidR="00840CA8" w:rsidRPr="00CE6412" w:rsidRDefault="00560E4A" w:rsidP="00840CA8">
      <w:pPr>
        <w:ind w:left="2835"/>
      </w:pPr>
      <w:r w:rsidRPr="00560E4A">
        <w:t>Stavební správa východ, Nerudova 1, 772 58 Olomouc</w:t>
      </w:r>
    </w:p>
    <w:p w:rsidR="00840CA8" w:rsidRPr="00CE6412" w:rsidRDefault="00840CA8" w:rsidP="00840CA8">
      <w:r w:rsidRPr="00CE6412">
        <w:t>Kraj:</w:t>
      </w:r>
      <w:r w:rsidRPr="00CE6412">
        <w:tab/>
      </w:r>
      <w:r w:rsidRPr="00CE6412">
        <w:tab/>
      </w:r>
      <w:r w:rsidRPr="00CE6412">
        <w:tab/>
      </w:r>
      <w:r w:rsidRPr="00CE6412">
        <w:tab/>
      </w:r>
      <w:r w:rsidR="00560E4A">
        <w:t>Olomoucký</w:t>
      </w:r>
    </w:p>
    <w:p w:rsidR="00A2244A" w:rsidRPr="00A2244A" w:rsidRDefault="00840CA8" w:rsidP="00A2244A">
      <w:r w:rsidRPr="00A2244A">
        <w:t>Katastrální území:</w:t>
      </w:r>
      <w:r w:rsidRPr="00A2244A">
        <w:tab/>
      </w:r>
      <w:r w:rsidRPr="00A2244A">
        <w:tab/>
      </w:r>
      <w:r w:rsidR="00B7464B">
        <w:t>Přerov</w:t>
      </w:r>
      <w:r w:rsidRPr="00A2244A">
        <w:t xml:space="preserve"> [</w:t>
      </w:r>
      <w:r w:rsidR="00335F74" w:rsidRPr="00335F74">
        <w:t>734713</w:t>
      </w:r>
      <w:r w:rsidR="00335F74">
        <w:t>]</w:t>
      </w:r>
      <w:r w:rsidR="006F721D">
        <w:t>, Lověšice u Přerova [735001]</w:t>
      </w:r>
    </w:p>
    <w:p w:rsidR="00840CA8" w:rsidRDefault="00840CA8" w:rsidP="00840CA8">
      <w:r w:rsidRPr="003E58BD">
        <w:t>Obec:</w:t>
      </w:r>
      <w:r w:rsidRPr="003E58BD">
        <w:tab/>
      </w:r>
      <w:r w:rsidRPr="003E58BD">
        <w:tab/>
      </w:r>
      <w:r w:rsidRPr="003E58BD">
        <w:tab/>
      </w:r>
      <w:r w:rsidRPr="003E58BD">
        <w:tab/>
      </w:r>
      <w:r w:rsidR="00335F74">
        <w:t>Přerov</w:t>
      </w:r>
      <w:r w:rsidR="003E58BD" w:rsidRPr="003E58BD">
        <w:t xml:space="preserve"> [</w:t>
      </w:r>
      <w:r w:rsidR="00335F74">
        <w:t>511382</w:t>
      </w:r>
      <w:r w:rsidR="003E58BD" w:rsidRPr="003E58BD">
        <w:t>]</w:t>
      </w:r>
    </w:p>
    <w:p w:rsidR="00406C89" w:rsidRPr="003E58BD" w:rsidRDefault="00406C89" w:rsidP="00840CA8">
      <w:r w:rsidRPr="00641321">
        <w:t>Rozsah stavby:</w:t>
      </w:r>
      <w:r>
        <w:t xml:space="preserve"> </w:t>
      </w:r>
      <w:r>
        <w:tab/>
      </w:r>
      <w:r>
        <w:tab/>
      </w:r>
      <w:r w:rsidR="00641321">
        <w:t>181,21 – 182,75</w:t>
      </w:r>
    </w:p>
    <w:p w:rsidR="00840CA8" w:rsidRPr="008625D7" w:rsidRDefault="00840CA8" w:rsidP="008625D7">
      <w:pPr>
        <w:ind w:left="2835" w:hanging="2835"/>
      </w:pPr>
      <w:r w:rsidRPr="008625D7">
        <w:t>Katastrální úřad:</w:t>
      </w:r>
      <w:r w:rsidRPr="008625D7">
        <w:tab/>
      </w:r>
      <w:r w:rsidR="008625D7" w:rsidRPr="008625D7">
        <w:t>Katastrální úřad pro Olomoucký kraj</w:t>
      </w:r>
    </w:p>
    <w:p w:rsidR="00416B54" w:rsidRDefault="00840CA8" w:rsidP="009F7741">
      <w:r w:rsidRPr="008625D7">
        <w:t>Katastrální pracoviště:</w:t>
      </w:r>
      <w:r w:rsidRPr="008625D7">
        <w:tab/>
        <w:t>Katastrální pracoviště</w:t>
      </w:r>
      <w:r w:rsidR="008625D7" w:rsidRPr="008625D7">
        <w:t xml:space="preserve">: </w:t>
      </w:r>
      <w:r w:rsidR="00335F74">
        <w:t>Přerov</w:t>
      </w:r>
    </w:p>
    <w:p w:rsidR="009F7741" w:rsidRPr="002A224F" w:rsidRDefault="009F7741" w:rsidP="009F7741">
      <w:pPr>
        <w:rPr>
          <w:highlight w:val="yellow"/>
        </w:rPr>
      </w:pPr>
    </w:p>
    <w:p w:rsidR="00C82CDA" w:rsidRPr="00F35BB1" w:rsidRDefault="00412DAD" w:rsidP="006F284A">
      <w:pPr>
        <w:spacing w:line="480" w:lineRule="auto"/>
        <w:rPr>
          <w:b/>
          <w:sz w:val="28"/>
          <w:szCs w:val="28"/>
        </w:rPr>
      </w:pPr>
      <w:r w:rsidRPr="00F35BB1">
        <w:rPr>
          <w:b/>
          <w:sz w:val="28"/>
          <w:szCs w:val="28"/>
        </w:rPr>
        <w:t>I</w:t>
      </w:r>
      <w:r w:rsidR="00CD77EB" w:rsidRPr="00F35BB1">
        <w:rPr>
          <w:b/>
          <w:sz w:val="28"/>
          <w:szCs w:val="28"/>
        </w:rPr>
        <w:t>.1</w:t>
      </w:r>
      <w:r w:rsidR="00840CA8" w:rsidRPr="00F35BB1">
        <w:rPr>
          <w:b/>
          <w:sz w:val="28"/>
          <w:szCs w:val="28"/>
        </w:rPr>
        <w:t xml:space="preserve"> </w:t>
      </w:r>
      <w:r w:rsidR="00413879">
        <w:rPr>
          <w:b/>
          <w:sz w:val="28"/>
          <w:szCs w:val="28"/>
        </w:rPr>
        <w:t>Technická zpráva</w:t>
      </w:r>
    </w:p>
    <w:p w:rsidR="006435AB" w:rsidRPr="00F35BB1" w:rsidRDefault="002F3245" w:rsidP="006435AB">
      <w:r w:rsidRPr="00F35BB1">
        <w:t>P</w:t>
      </w:r>
      <w:r w:rsidR="006435AB" w:rsidRPr="00F35BB1">
        <w:t xml:space="preserve">ro </w:t>
      </w:r>
      <w:r w:rsidR="00F34C3D" w:rsidRPr="00F35BB1">
        <w:t>projektovou</w:t>
      </w:r>
      <w:r w:rsidR="006435AB" w:rsidRPr="00F35BB1">
        <w:t xml:space="preserve"> dokumentaci výše uvedené </w:t>
      </w:r>
      <w:r w:rsidR="00F34C3D" w:rsidRPr="00F35BB1">
        <w:t xml:space="preserve">akce </w:t>
      </w:r>
      <w:r w:rsidRPr="00F35BB1">
        <w:t>byly využit</w:t>
      </w:r>
      <w:r w:rsidR="00F34C3D" w:rsidRPr="00F35BB1">
        <w:t>y</w:t>
      </w:r>
      <w:r w:rsidRPr="00F35BB1">
        <w:t xml:space="preserve"> následující podklady</w:t>
      </w:r>
      <w:r w:rsidR="006435AB" w:rsidRPr="00F35BB1">
        <w:t>:</w:t>
      </w:r>
    </w:p>
    <w:p w:rsidR="006D4DE0" w:rsidRDefault="006D4DE0" w:rsidP="006D4DE0">
      <w:pPr>
        <w:pStyle w:val="Odstavecseseznamem"/>
        <w:numPr>
          <w:ilvl w:val="0"/>
          <w:numId w:val="7"/>
        </w:numPr>
      </w:pPr>
      <w:r>
        <w:t>Katastrální mapa typu DKM Přerov a Lověšice u Přerova</w:t>
      </w:r>
    </w:p>
    <w:p w:rsidR="006D4DE0" w:rsidRDefault="006D4DE0" w:rsidP="006D4DE0">
      <w:pPr>
        <w:pStyle w:val="Odstavecseseznamem"/>
        <w:numPr>
          <w:ilvl w:val="0"/>
          <w:numId w:val="7"/>
        </w:numPr>
      </w:pPr>
      <w:r>
        <w:t>Směrnice GŘ SŽDC č.11/2006, Příloha č. 2</w:t>
      </w:r>
    </w:p>
    <w:p w:rsidR="006D4DE0" w:rsidRDefault="006D4DE0" w:rsidP="006D4DE0">
      <w:pPr>
        <w:pStyle w:val="Odstavecseseznamem"/>
        <w:numPr>
          <w:ilvl w:val="0"/>
          <w:numId w:val="7"/>
        </w:numPr>
      </w:pPr>
      <w:r>
        <w:t xml:space="preserve">Zaměření „Rekonstrukce </w:t>
      </w:r>
      <w:proofErr w:type="spellStart"/>
      <w:r>
        <w:t>žst</w:t>
      </w:r>
      <w:proofErr w:type="spellEnd"/>
      <w:r>
        <w:t>. Přerov 1.stavba“</w:t>
      </w:r>
    </w:p>
    <w:p w:rsidR="006D4DE0" w:rsidRDefault="006D4DE0" w:rsidP="006D4DE0">
      <w:pPr>
        <w:pStyle w:val="Odstavecseseznamem"/>
        <w:numPr>
          <w:ilvl w:val="0"/>
          <w:numId w:val="7"/>
        </w:numPr>
      </w:pPr>
      <w:r>
        <w:t>Zaměření osy kolejí a omezujících prvků přerovského přednádraží „Přerov SSV“</w:t>
      </w:r>
    </w:p>
    <w:p w:rsidR="001C79F0" w:rsidRPr="00F35BB1" w:rsidRDefault="008779D2" w:rsidP="00F35BB1">
      <w:pPr>
        <w:pStyle w:val="Odstavecseseznamem"/>
        <w:numPr>
          <w:ilvl w:val="0"/>
          <w:numId w:val="7"/>
        </w:numPr>
      </w:pPr>
      <w:r w:rsidRPr="00F35BB1">
        <w:t xml:space="preserve">Železniční bodové pole: </w:t>
      </w:r>
      <w:r w:rsidR="00F35BB1" w:rsidRPr="00F35BB1">
        <w:t xml:space="preserve">TÚ </w:t>
      </w:r>
      <w:r w:rsidR="006D4DE0">
        <w:t>1891</w:t>
      </w:r>
      <w:r w:rsidR="00F35BB1" w:rsidRPr="00F35BB1">
        <w:t xml:space="preserve"> – </w:t>
      </w:r>
      <w:r w:rsidR="009C0D86">
        <w:t xml:space="preserve">km </w:t>
      </w:r>
      <w:r w:rsidR="006D4DE0">
        <w:t>181,4</w:t>
      </w:r>
      <w:r w:rsidR="009C0D86">
        <w:t xml:space="preserve"> – km </w:t>
      </w:r>
      <w:r w:rsidR="006D4DE0">
        <w:t>182,7</w:t>
      </w:r>
      <w:r w:rsidR="009C0D86">
        <w:t xml:space="preserve"> z roku 201</w:t>
      </w:r>
      <w:r w:rsidR="006D4DE0">
        <w:t>1 až 2017</w:t>
      </w:r>
    </w:p>
    <w:p w:rsidR="001C79F0" w:rsidRPr="00F35BB1" w:rsidRDefault="001C79F0" w:rsidP="001C79F0">
      <w:pPr>
        <w:pStyle w:val="Odstavecseseznamem"/>
        <w:numPr>
          <w:ilvl w:val="0"/>
          <w:numId w:val="7"/>
        </w:numPr>
      </w:pPr>
      <w:r w:rsidRPr="00F35BB1">
        <w:t>Předpisy: Dokumentace pro přípravu staveb na železničních drahách celostátních a regionálních (Příloha č. 1 ke směrnici generálního ředitele č. 11/2006) a Pravidla pro vzájemnou výměnu digitálních dat mezi drážními a mimodrážními organizacemi</w:t>
      </w:r>
    </w:p>
    <w:p w:rsidR="005A05C3" w:rsidRDefault="005A05C3" w:rsidP="006F284A">
      <w:pPr>
        <w:spacing w:line="480" w:lineRule="auto"/>
        <w:rPr>
          <w:b/>
          <w:sz w:val="28"/>
          <w:szCs w:val="28"/>
        </w:rPr>
      </w:pPr>
    </w:p>
    <w:p w:rsidR="00CD3CFC" w:rsidRPr="00EB3DB2" w:rsidRDefault="00412DAD" w:rsidP="006F284A">
      <w:pPr>
        <w:spacing w:line="480" w:lineRule="auto"/>
        <w:rPr>
          <w:b/>
          <w:sz w:val="28"/>
          <w:szCs w:val="28"/>
        </w:rPr>
      </w:pPr>
      <w:r w:rsidRPr="00EB3DB2">
        <w:rPr>
          <w:b/>
          <w:sz w:val="28"/>
          <w:szCs w:val="28"/>
        </w:rPr>
        <w:lastRenderedPageBreak/>
        <w:t>I.</w:t>
      </w:r>
      <w:r w:rsidR="00CD3CFC" w:rsidRPr="00EB3DB2">
        <w:rPr>
          <w:b/>
          <w:sz w:val="28"/>
          <w:szCs w:val="28"/>
        </w:rPr>
        <w:t>2</w:t>
      </w:r>
      <w:r w:rsidR="008643AC" w:rsidRPr="00EB3DB2">
        <w:rPr>
          <w:b/>
          <w:sz w:val="28"/>
          <w:szCs w:val="28"/>
        </w:rPr>
        <w:t xml:space="preserve"> </w:t>
      </w:r>
      <w:r w:rsidR="00CD3CFC" w:rsidRPr="00EB3DB2">
        <w:rPr>
          <w:b/>
          <w:sz w:val="28"/>
          <w:szCs w:val="28"/>
        </w:rPr>
        <w:t xml:space="preserve">Majetkoprávní část </w:t>
      </w:r>
    </w:p>
    <w:p w:rsidR="002877D7" w:rsidRDefault="00C82CDA" w:rsidP="00C9471A">
      <w:pPr>
        <w:ind w:firstLine="851"/>
        <w:rPr>
          <w:bCs/>
          <w:iCs/>
        </w:rPr>
      </w:pPr>
      <w:r w:rsidRPr="00C9471A">
        <w:rPr>
          <w:bCs/>
          <w:iCs/>
        </w:rPr>
        <w:t>Stavba „</w:t>
      </w:r>
      <w:r w:rsidR="00021FCC" w:rsidRPr="006A0E54">
        <w:t xml:space="preserve">Rekonstrukce TV v </w:t>
      </w:r>
      <w:proofErr w:type="spellStart"/>
      <w:r w:rsidR="00021FCC" w:rsidRPr="006A0E54">
        <w:t>žst</w:t>
      </w:r>
      <w:proofErr w:type="spellEnd"/>
      <w:r w:rsidR="00021FCC" w:rsidRPr="006A0E54">
        <w:t>. Přerov přednádraží, II. Etapa</w:t>
      </w:r>
      <w:r w:rsidRPr="00C9471A">
        <w:rPr>
          <w:bCs/>
          <w:iCs/>
        </w:rPr>
        <w:t xml:space="preserve">“ se nachází v katastrálním území </w:t>
      </w:r>
      <w:r w:rsidR="00021FCC">
        <w:rPr>
          <w:bCs/>
          <w:iCs/>
        </w:rPr>
        <w:t>Přerov a Lověšice u Přerova</w:t>
      </w:r>
      <w:r w:rsidRPr="00C9471A">
        <w:rPr>
          <w:bCs/>
          <w:iCs/>
        </w:rPr>
        <w:t xml:space="preserve">. </w:t>
      </w:r>
      <w:r w:rsidR="009D46E2" w:rsidRPr="00C9471A">
        <w:rPr>
          <w:bCs/>
          <w:iCs/>
        </w:rPr>
        <w:t>K</w:t>
      </w:r>
      <w:r w:rsidR="00005AB4" w:rsidRPr="00C9471A">
        <w:rPr>
          <w:bCs/>
          <w:iCs/>
        </w:rPr>
        <w:t>atastrální území</w:t>
      </w:r>
      <w:r w:rsidR="009D46E2" w:rsidRPr="00C9471A">
        <w:rPr>
          <w:bCs/>
          <w:iCs/>
        </w:rPr>
        <w:t xml:space="preserve"> </w:t>
      </w:r>
      <w:r w:rsidR="00021FCC">
        <w:rPr>
          <w:bCs/>
          <w:iCs/>
        </w:rPr>
        <w:t>Přerov</w:t>
      </w:r>
      <w:r w:rsidR="00005AB4" w:rsidRPr="00C9471A">
        <w:rPr>
          <w:bCs/>
          <w:iCs/>
        </w:rPr>
        <w:t xml:space="preserve"> pokrývá map</w:t>
      </w:r>
      <w:r w:rsidR="009D46E2" w:rsidRPr="00C9471A">
        <w:rPr>
          <w:bCs/>
          <w:iCs/>
        </w:rPr>
        <w:t>a</w:t>
      </w:r>
      <w:r w:rsidR="00005AB4" w:rsidRPr="00C9471A">
        <w:rPr>
          <w:bCs/>
          <w:iCs/>
        </w:rPr>
        <w:t xml:space="preserve"> typu </w:t>
      </w:r>
      <w:r w:rsidR="00021FCC">
        <w:rPr>
          <w:bCs/>
          <w:iCs/>
        </w:rPr>
        <w:t>DKM</w:t>
      </w:r>
      <w:r w:rsidR="00005AB4" w:rsidRPr="00C9471A">
        <w:rPr>
          <w:bCs/>
          <w:iCs/>
        </w:rPr>
        <w:t xml:space="preserve"> platná od roku 20</w:t>
      </w:r>
      <w:r w:rsidR="009D46E2" w:rsidRPr="00C9471A">
        <w:rPr>
          <w:bCs/>
          <w:iCs/>
        </w:rPr>
        <w:t>1</w:t>
      </w:r>
      <w:r w:rsidR="00021FCC">
        <w:rPr>
          <w:bCs/>
          <w:iCs/>
        </w:rPr>
        <w:t>0</w:t>
      </w:r>
      <w:r w:rsidR="009D46E2" w:rsidRPr="00C9471A">
        <w:rPr>
          <w:bCs/>
          <w:iCs/>
        </w:rPr>
        <w:t xml:space="preserve"> a katastrální území </w:t>
      </w:r>
      <w:r w:rsidR="00021FCC">
        <w:rPr>
          <w:bCs/>
          <w:iCs/>
        </w:rPr>
        <w:t>Lověšice u Přerova</w:t>
      </w:r>
      <w:r w:rsidR="009D46E2" w:rsidRPr="00C9471A">
        <w:rPr>
          <w:bCs/>
          <w:iCs/>
        </w:rPr>
        <w:t xml:space="preserve"> pokrývá mapa typu DKM platná od roku 20</w:t>
      </w:r>
      <w:r w:rsidR="00021FCC">
        <w:rPr>
          <w:bCs/>
          <w:iCs/>
        </w:rPr>
        <w:t>13</w:t>
      </w:r>
      <w:r w:rsidR="00005AB4" w:rsidRPr="00C9471A">
        <w:rPr>
          <w:bCs/>
          <w:iCs/>
        </w:rPr>
        <w:t>.</w:t>
      </w:r>
      <w:r w:rsidR="00D462E0">
        <w:rPr>
          <w:bCs/>
          <w:iCs/>
        </w:rPr>
        <w:t xml:space="preserve"> </w:t>
      </w:r>
      <w:r w:rsidR="00CA5011">
        <w:rPr>
          <w:bCs/>
          <w:iCs/>
        </w:rPr>
        <w:t>Katastrální mapa je platná k datu 16.12.2019.</w:t>
      </w:r>
    </w:p>
    <w:p w:rsidR="001C79F0" w:rsidRPr="00C9471A" w:rsidRDefault="00C82CDA" w:rsidP="00C9471A">
      <w:pPr>
        <w:ind w:firstLine="851"/>
        <w:rPr>
          <w:bCs/>
          <w:iCs/>
        </w:rPr>
      </w:pPr>
      <w:r w:rsidRPr="008F0963">
        <w:rPr>
          <w:bCs/>
          <w:iCs/>
        </w:rPr>
        <w:t>Stavb</w:t>
      </w:r>
      <w:r w:rsidR="003826AC">
        <w:rPr>
          <w:bCs/>
          <w:iCs/>
        </w:rPr>
        <w:t>a</w:t>
      </w:r>
      <w:r w:rsidRPr="008F0963">
        <w:rPr>
          <w:bCs/>
          <w:iCs/>
        </w:rPr>
        <w:t xml:space="preserve"> </w:t>
      </w:r>
      <w:r w:rsidR="003826AC">
        <w:rPr>
          <w:bCs/>
          <w:iCs/>
        </w:rPr>
        <w:t>se nachází v obvodu</w:t>
      </w:r>
      <w:r w:rsidRPr="008F0963">
        <w:rPr>
          <w:bCs/>
          <w:iCs/>
        </w:rPr>
        <w:t xml:space="preserve"> </w:t>
      </w:r>
      <w:r w:rsidR="008643AC" w:rsidRPr="008F0963">
        <w:rPr>
          <w:bCs/>
          <w:iCs/>
        </w:rPr>
        <w:t xml:space="preserve">hranice drážního pozemku </w:t>
      </w:r>
      <w:r w:rsidRPr="008F0963">
        <w:rPr>
          <w:bCs/>
          <w:iCs/>
        </w:rPr>
        <w:t>(pozemk</w:t>
      </w:r>
      <w:r w:rsidR="008643AC" w:rsidRPr="008F0963">
        <w:rPr>
          <w:bCs/>
          <w:iCs/>
        </w:rPr>
        <w:t>u</w:t>
      </w:r>
      <w:r w:rsidRPr="008F0963">
        <w:rPr>
          <w:bCs/>
          <w:iCs/>
        </w:rPr>
        <w:t xml:space="preserve"> ve vlastnictví Česk</w:t>
      </w:r>
      <w:r w:rsidR="003826AC">
        <w:rPr>
          <w:bCs/>
          <w:iCs/>
        </w:rPr>
        <w:t>ých drah a.s.</w:t>
      </w:r>
      <w:r w:rsidRPr="00C9471A">
        <w:rPr>
          <w:bCs/>
          <w:iCs/>
        </w:rPr>
        <w:t>)</w:t>
      </w:r>
      <w:r w:rsidR="003826AC">
        <w:rPr>
          <w:bCs/>
          <w:iCs/>
        </w:rPr>
        <w:t xml:space="preserve">. </w:t>
      </w:r>
      <w:r w:rsidR="00C9471A">
        <w:rPr>
          <w:bCs/>
          <w:iCs/>
        </w:rPr>
        <w:t>Všechn</w:t>
      </w:r>
      <w:r w:rsidR="003826AC">
        <w:rPr>
          <w:bCs/>
          <w:iCs/>
        </w:rPr>
        <w:t xml:space="preserve">y </w:t>
      </w:r>
      <w:r w:rsidR="00A52EDD" w:rsidRPr="00C9471A">
        <w:rPr>
          <w:bCs/>
          <w:iCs/>
        </w:rPr>
        <w:t>pozem</w:t>
      </w:r>
      <w:r w:rsidR="00C9471A">
        <w:rPr>
          <w:bCs/>
          <w:iCs/>
        </w:rPr>
        <w:t>ky jsou</w:t>
      </w:r>
      <w:r w:rsidR="00A52EDD" w:rsidRPr="00C9471A">
        <w:rPr>
          <w:bCs/>
          <w:iCs/>
        </w:rPr>
        <w:t xml:space="preserve"> uveden</w:t>
      </w:r>
      <w:r w:rsidR="00C9471A">
        <w:rPr>
          <w:bCs/>
          <w:iCs/>
        </w:rPr>
        <w:t>y</w:t>
      </w:r>
      <w:r w:rsidR="00A52EDD" w:rsidRPr="00C9471A">
        <w:rPr>
          <w:bCs/>
          <w:iCs/>
        </w:rPr>
        <w:t xml:space="preserve"> </w:t>
      </w:r>
      <w:r w:rsidR="001C79F0" w:rsidRPr="00C9471A">
        <w:rPr>
          <w:bCs/>
          <w:iCs/>
        </w:rPr>
        <w:t>v příloze I.2.1.1 Seznam dotčených nemovitostí</w:t>
      </w:r>
      <w:r w:rsidR="00C9471A">
        <w:rPr>
          <w:bCs/>
          <w:iCs/>
        </w:rPr>
        <w:t>.</w:t>
      </w:r>
      <w:r w:rsidR="001C79F0" w:rsidRPr="00C9471A">
        <w:rPr>
          <w:bCs/>
          <w:iCs/>
        </w:rPr>
        <w:t xml:space="preserve"> K</w:t>
      </w:r>
      <w:r w:rsidR="008C38F2">
        <w:rPr>
          <w:bCs/>
          <w:iCs/>
        </w:rPr>
        <w:t>e zřizování</w:t>
      </w:r>
      <w:r w:rsidR="001C79F0" w:rsidRPr="00C9471A">
        <w:rPr>
          <w:bCs/>
          <w:iCs/>
        </w:rPr>
        <w:t xml:space="preserve"> </w:t>
      </w:r>
      <w:r w:rsidR="003826AC">
        <w:rPr>
          <w:bCs/>
          <w:iCs/>
        </w:rPr>
        <w:t xml:space="preserve">trvalých záborů </w:t>
      </w:r>
      <w:r w:rsidR="00481FC7">
        <w:rPr>
          <w:bCs/>
          <w:iCs/>
        </w:rPr>
        <w:t xml:space="preserve">a věcných břemen </w:t>
      </w:r>
      <w:r w:rsidR="001C79F0" w:rsidRPr="00C9471A">
        <w:rPr>
          <w:bCs/>
          <w:iCs/>
        </w:rPr>
        <w:t xml:space="preserve">nedochází. Na stavbě nejsou </w:t>
      </w:r>
      <w:r w:rsidR="003826AC">
        <w:rPr>
          <w:bCs/>
          <w:iCs/>
        </w:rPr>
        <w:t xml:space="preserve">pozemky </w:t>
      </w:r>
      <w:r w:rsidR="001C79F0" w:rsidRPr="00C9471A">
        <w:rPr>
          <w:bCs/>
          <w:iCs/>
        </w:rPr>
        <w:t>dotčeny demolicí či individuálním protihlukovým opatřením</w:t>
      </w:r>
      <w:r w:rsidR="00481FC7">
        <w:rPr>
          <w:bCs/>
          <w:iCs/>
        </w:rPr>
        <w:t xml:space="preserve"> ani se zde nenachází pozemky PUPFL do 50m od obvodu stavby.</w:t>
      </w:r>
    </w:p>
    <w:p w:rsidR="001C79F0" w:rsidRPr="00F5727B" w:rsidRDefault="001C79F0" w:rsidP="001C79F0">
      <w:pPr>
        <w:ind w:firstLine="709"/>
      </w:pPr>
      <w:r w:rsidRPr="00F5727B">
        <w:t>V příloze I.2.1 Seznamy nemovitostí jsou obsaženy seznamy s</w:t>
      </w:r>
      <w:r w:rsidR="00236C94">
        <w:t> </w:t>
      </w:r>
      <w:r w:rsidRPr="00F5727B">
        <w:t>dotčenými</w:t>
      </w:r>
      <w:r w:rsidR="00236C94">
        <w:t xml:space="preserve">, </w:t>
      </w:r>
      <w:r w:rsidR="00481FC7">
        <w:t>sousedními</w:t>
      </w:r>
      <w:r w:rsidR="00236C94">
        <w:t xml:space="preserve"> </w:t>
      </w:r>
      <w:r w:rsidRPr="00F5727B">
        <w:t>nemovitostmi</w:t>
      </w:r>
      <w:r w:rsidR="00236C94">
        <w:t xml:space="preserve"> a dotčenými nemovitostmi dle UMVŽST.</w:t>
      </w:r>
    </w:p>
    <w:p w:rsidR="00542667" w:rsidRPr="00F5727B" w:rsidRDefault="004F38A9" w:rsidP="004F38A9">
      <w:pPr>
        <w:ind w:firstLine="851"/>
      </w:pPr>
      <w:r w:rsidRPr="00F5727B">
        <w:rPr>
          <w:bCs/>
          <w:iCs/>
        </w:rPr>
        <w:t xml:space="preserve">Údaje o parcelách, které budou výše uvedenou stavbou dotčeny a údaje o sousedních nemovitostech byly získány prostřednictvím dálkového přístupu k údajům katastru nemovitostí a aplikace „Nahlížení do katastru nemovitostí provozovanou Českým úřadem zeměměřickým a katastrálním“. Výpisy z listu vlastnictví jsou součástí dokumentace v příloze I.2.2 Údaje z katastru nemovitostí. </w:t>
      </w:r>
      <w:r w:rsidRPr="00F5727B">
        <w:t xml:space="preserve"> </w:t>
      </w:r>
      <w:r w:rsidR="00C82CDA" w:rsidRPr="00F5727B">
        <w:rPr>
          <w:bCs/>
          <w:iCs/>
        </w:rPr>
        <w:t xml:space="preserve"> </w:t>
      </w:r>
      <w:r w:rsidR="00C82CDA" w:rsidRPr="00F5727B">
        <w:t xml:space="preserve"> </w:t>
      </w:r>
    </w:p>
    <w:p w:rsidR="00542667" w:rsidRDefault="00542667" w:rsidP="009F7741">
      <w:pPr>
        <w:ind w:firstLine="502"/>
        <w:rPr>
          <w:bCs/>
          <w:iCs/>
          <w:highlight w:val="yellow"/>
        </w:rPr>
      </w:pPr>
      <w:r w:rsidRPr="008C3FD0">
        <w:t xml:space="preserve">Součástí předávané dokumentace je </w:t>
      </w:r>
      <w:proofErr w:type="gramStart"/>
      <w:r w:rsidRPr="008C3FD0">
        <w:t xml:space="preserve">příloha </w:t>
      </w:r>
      <w:r w:rsidR="00B51D07" w:rsidRPr="008C3FD0">
        <w:t>I</w:t>
      </w:r>
      <w:r w:rsidR="00A52EDD" w:rsidRPr="008C3FD0">
        <w:t>.2.3</w:t>
      </w:r>
      <w:proofErr w:type="gramEnd"/>
      <w:r w:rsidR="00A52EDD" w:rsidRPr="008C3FD0">
        <w:t xml:space="preserve"> </w:t>
      </w:r>
      <w:r w:rsidR="008F0963">
        <w:t>Předběžný výkres výkupu pozemků</w:t>
      </w:r>
      <w:r w:rsidR="00A52EDD" w:rsidRPr="008C3FD0">
        <w:t xml:space="preserve">, která obsahuje </w:t>
      </w:r>
      <w:r w:rsidR="009F7741" w:rsidRPr="008C3FD0">
        <w:t xml:space="preserve">kopii </w:t>
      </w:r>
      <w:r w:rsidR="00B17E64">
        <w:t xml:space="preserve">katastrální mapy </w:t>
      </w:r>
      <w:r w:rsidR="00A52EDD" w:rsidRPr="008C3FD0">
        <w:t>předmětn</w:t>
      </w:r>
      <w:r w:rsidR="009F7741" w:rsidRPr="008C3FD0">
        <w:t>ých</w:t>
      </w:r>
      <w:r w:rsidR="00A52EDD" w:rsidRPr="008C3FD0">
        <w:t xml:space="preserve"> katastrální</w:t>
      </w:r>
      <w:r w:rsidR="00CA5011">
        <w:t>ch</w:t>
      </w:r>
      <w:r w:rsidR="00A52EDD" w:rsidRPr="008C3FD0">
        <w:t xml:space="preserve"> území s vyznačenou hranicí drážního pozemku</w:t>
      </w:r>
      <w:r w:rsidR="00D462E0" w:rsidRPr="00EB3DB2">
        <w:t>.</w:t>
      </w:r>
      <w:r w:rsidR="00A52EDD" w:rsidRPr="00EB3DB2">
        <w:t xml:space="preserve"> </w:t>
      </w:r>
      <w:r w:rsidR="00562CE3" w:rsidRPr="00EB3DB2">
        <w:t>Součástí je i zákres staničení</w:t>
      </w:r>
      <w:r w:rsidR="00D462E0" w:rsidRPr="00EB3DB2">
        <w:t xml:space="preserve"> dráhy</w:t>
      </w:r>
      <w:r w:rsidR="00EB3DB2">
        <w:t>.</w:t>
      </w:r>
      <w:r w:rsidR="00236C94">
        <w:rPr>
          <w:bCs/>
          <w:iCs/>
        </w:rPr>
        <w:t xml:space="preserve"> </w:t>
      </w:r>
      <w:r w:rsidR="00236C94" w:rsidRPr="005147B7">
        <w:t xml:space="preserve">Dále byl vyhotoven Předběžný výkres výkupů pozemků zohledňující </w:t>
      </w:r>
      <w:r w:rsidR="00236C94">
        <w:t>U</w:t>
      </w:r>
      <w:r w:rsidR="00236C94" w:rsidRPr="005147B7">
        <w:t>MVŽST</w:t>
      </w:r>
      <w:r w:rsidR="00236C94">
        <w:t>.</w:t>
      </w:r>
    </w:p>
    <w:p w:rsidR="008E4974" w:rsidRPr="008C3FD0" w:rsidRDefault="00842F92" w:rsidP="008E4974">
      <w:pPr>
        <w:ind w:firstLine="502"/>
      </w:pPr>
      <w:r w:rsidRPr="008C3FD0">
        <w:t xml:space="preserve">Část I.2 </w:t>
      </w:r>
      <w:r w:rsidR="008E4974" w:rsidRPr="008C3FD0">
        <w:t>Majetkoprávní část obsahuje:</w:t>
      </w:r>
    </w:p>
    <w:p w:rsidR="008E4974" w:rsidRPr="00F5727B" w:rsidRDefault="008E4974" w:rsidP="008E4974">
      <w:pPr>
        <w:ind w:firstLine="502"/>
      </w:pPr>
      <w:r w:rsidRPr="00F5727B">
        <w:t>I.2.1 Seznamy nemovitostí</w:t>
      </w:r>
    </w:p>
    <w:p w:rsidR="008E4974" w:rsidRPr="00F5727B" w:rsidRDefault="008E4974" w:rsidP="008E4974">
      <w:pPr>
        <w:ind w:left="142" w:firstLine="992"/>
      </w:pPr>
      <w:r w:rsidRPr="00F5727B">
        <w:t>I.2.1.1 Seznam dotčených nemovitostí</w:t>
      </w:r>
    </w:p>
    <w:p w:rsidR="008E4974" w:rsidRDefault="008E4974" w:rsidP="008E4974">
      <w:pPr>
        <w:ind w:left="142" w:firstLine="992"/>
      </w:pPr>
      <w:r w:rsidRPr="00F5727B">
        <w:t>I.2.1.2 Seznam sousedních nemovitostí</w:t>
      </w:r>
    </w:p>
    <w:p w:rsidR="00236C94" w:rsidRPr="00F5727B" w:rsidRDefault="00236C94" w:rsidP="008E4974">
      <w:pPr>
        <w:ind w:left="142" w:firstLine="992"/>
      </w:pPr>
      <w:r>
        <w:t>I.2.1.3 Seznam dotčených nemovitostí dle UMVŽST</w:t>
      </w:r>
    </w:p>
    <w:p w:rsidR="008E4974" w:rsidRPr="00F5727B" w:rsidRDefault="008E4974" w:rsidP="008E4974">
      <w:pPr>
        <w:ind w:firstLine="502"/>
      </w:pPr>
      <w:r w:rsidRPr="00F5727B">
        <w:t>I.2.2 Údaje z katastru nemovitostí</w:t>
      </w:r>
    </w:p>
    <w:p w:rsidR="006F284A" w:rsidRDefault="008E4974" w:rsidP="008E4974">
      <w:pPr>
        <w:ind w:firstLine="502"/>
      </w:pPr>
      <w:r w:rsidRPr="00F5727B">
        <w:t xml:space="preserve">I.2.3 </w:t>
      </w:r>
      <w:r w:rsidR="008F0963">
        <w:t>Předběžný výkres výkupu pozemků</w:t>
      </w:r>
      <w:r w:rsidRPr="00F5727B">
        <w:t xml:space="preserve"> </w:t>
      </w:r>
    </w:p>
    <w:p w:rsidR="00CA5011" w:rsidRDefault="00236C94" w:rsidP="008E4974">
      <w:pPr>
        <w:ind w:firstLine="502"/>
      </w:pPr>
      <w:r>
        <w:t>I.2.4 Předběžný výkres výkupu pozemků dle UMVŽST</w:t>
      </w:r>
    </w:p>
    <w:p w:rsidR="000C4967" w:rsidRDefault="000C4967" w:rsidP="008E4974">
      <w:pPr>
        <w:ind w:firstLine="502"/>
      </w:pPr>
    </w:p>
    <w:p w:rsidR="00CA5011" w:rsidRPr="00EA0FE4" w:rsidRDefault="00CA5011" w:rsidP="00CA5011">
      <w:r>
        <w:rPr>
          <w:i/>
          <w:iCs/>
          <w:color w:val="1F497D" w:themeColor="text2"/>
          <w:u w:val="single"/>
        </w:rPr>
        <w:t>Pozn. Příloha I.2.2 Údaje z katastru nemovitostí bude doplněna</w:t>
      </w:r>
      <w:r w:rsidRPr="000C0A4E">
        <w:rPr>
          <w:i/>
          <w:iCs/>
          <w:color w:val="1F497D" w:themeColor="text2"/>
          <w:u w:val="single"/>
        </w:rPr>
        <w:t xml:space="preserve"> po připomínkovém řízení</w:t>
      </w:r>
      <w:r>
        <w:rPr>
          <w:i/>
          <w:iCs/>
          <w:color w:val="1F497D" w:themeColor="text2"/>
          <w:u w:val="single"/>
        </w:rPr>
        <w:t>.</w:t>
      </w:r>
    </w:p>
    <w:p w:rsidR="0014397A" w:rsidRPr="00D2757A" w:rsidRDefault="0014397A" w:rsidP="0014397A">
      <w:pPr>
        <w:pStyle w:val="Nadpis2"/>
        <w:spacing w:line="480" w:lineRule="auto"/>
        <w:rPr>
          <w:rFonts w:eastAsia="Calibri"/>
          <w:bCs w:val="0"/>
          <w:sz w:val="28"/>
          <w:szCs w:val="28"/>
        </w:rPr>
      </w:pPr>
      <w:r w:rsidRPr="00D2757A">
        <w:lastRenderedPageBreak/>
        <w:t>I.3 NÁVRH VYTYČOVACÍ SÍTĚ</w:t>
      </w:r>
      <w:r w:rsidRPr="00D2757A">
        <w:rPr>
          <w:rFonts w:eastAsia="Calibri"/>
          <w:bCs w:val="0"/>
          <w:sz w:val="28"/>
          <w:szCs w:val="28"/>
        </w:rPr>
        <w:t xml:space="preserve"> </w:t>
      </w:r>
    </w:p>
    <w:p w:rsidR="0014397A" w:rsidRPr="00D2757A" w:rsidRDefault="0014397A" w:rsidP="0014397A">
      <w:pPr>
        <w:ind w:firstLine="567"/>
      </w:pPr>
      <w:r w:rsidRPr="00D2757A">
        <w:t xml:space="preserve">Jako základ vytyčovací sítě bude použito železniční bodové pole, které bylo </w:t>
      </w:r>
      <w:r>
        <w:t>poskytnuto</w:t>
      </w:r>
      <w:r w:rsidRPr="00D2757A">
        <w:t xml:space="preserve"> od Správy </w:t>
      </w:r>
      <w:r w:rsidRPr="00E9719D">
        <w:t>železniční geodézie Olomouc</w:t>
      </w:r>
      <w:r w:rsidRPr="00D2757A">
        <w:t xml:space="preserve">. </w:t>
      </w:r>
    </w:p>
    <w:p w:rsidR="00260C19" w:rsidRDefault="0014397A" w:rsidP="0014397A">
      <w:pPr>
        <w:ind w:firstLine="567"/>
      </w:pPr>
      <w:r>
        <w:t xml:space="preserve">V rámci stavby se </w:t>
      </w:r>
      <w:r w:rsidR="000716A7">
        <w:t>ne</w:t>
      </w:r>
      <w:r>
        <w:t>předpokládá, že dojde ke zrušení </w:t>
      </w:r>
      <w:r w:rsidR="000716A7">
        <w:t xml:space="preserve">některého z bodů </w:t>
      </w:r>
      <w:r w:rsidR="000716A7" w:rsidRPr="000716A7">
        <w:t>ŽBP</w:t>
      </w:r>
      <w:r w:rsidRPr="000716A7">
        <w:t xml:space="preserve">. </w:t>
      </w:r>
      <w:r w:rsidR="000716A7">
        <w:t>Pokud by přece jen ke zrušení nebo poškození některého bodu došlo, zhotovitel je povinen tyto body</w:t>
      </w:r>
      <w:r w:rsidRPr="000716A7">
        <w:t xml:space="preserve"> v rámci stavby nahra</w:t>
      </w:r>
      <w:r w:rsidR="000716A7">
        <w:t>dit</w:t>
      </w:r>
      <w:r w:rsidRPr="000716A7">
        <w:t xml:space="preserve"> novým</w:t>
      </w:r>
      <w:r w:rsidR="006366D4" w:rsidRPr="000716A7">
        <w:t>i</w:t>
      </w:r>
      <w:r w:rsidRPr="000716A7">
        <w:t xml:space="preserve"> (dle TKP staveb státních drah). </w:t>
      </w:r>
      <w:r w:rsidR="00260C19" w:rsidRPr="000716A7">
        <w:t>Stavbou nejsou nijak dotčeny ani ohroženy body základního, podrobného</w:t>
      </w:r>
      <w:r w:rsidR="00132F44" w:rsidRPr="000716A7">
        <w:t xml:space="preserve"> polohového</w:t>
      </w:r>
      <w:r w:rsidR="00260C19" w:rsidRPr="000716A7">
        <w:t xml:space="preserve"> nebo výškového bodového pole.</w:t>
      </w:r>
    </w:p>
    <w:p w:rsidR="0071668B" w:rsidRDefault="0071668B" w:rsidP="0014397A">
      <w:pPr>
        <w:ind w:firstLine="567"/>
        <w:rPr>
          <w:i/>
        </w:rPr>
      </w:pPr>
      <w:r w:rsidRPr="00552A6C">
        <w:t xml:space="preserve">Body v tištěné podobě jsou zobrazeny v příloze </w:t>
      </w:r>
      <w:r w:rsidRPr="00552A6C">
        <w:rPr>
          <w:i/>
        </w:rPr>
        <w:t>I.4.1. Koordinační vytyčovací výkres.</w:t>
      </w:r>
      <w:r>
        <w:rPr>
          <w:i/>
        </w:rPr>
        <w:t xml:space="preserve"> </w:t>
      </w:r>
    </w:p>
    <w:p w:rsidR="0014397A" w:rsidRPr="00F1352F" w:rsidRDefault="0014397A" w:rsidP="0014397A">
      <w:pPr>
        <w:ind w:firstLine="567"/>
      </w:pPr>
      <w:r w:rsidRPr="00F1352F">
        <w:t>Část Návrh vytyčovací sítě obsahuje:</w:t>
      </w:r>
    </w:p>
    <w:p w:rsidR="0014397A" w:rsidRPr="00F1352F" w:rsidRDefault="0014397A" w:rsidP="0014397A">
      <w:pPr>
        <w:ind w:firstLine="567"/>
      </w:pPr>
      <w:r w:rsidRPr="00F1352F">
        <w:t xml:space="preserve">I.3.1 Návrh vytyčovací sítě </w:t>
      </w:r>
      <w:r w:rsidR="0071668B">
        <w:t>(pouze digitálně)</w:t>
      </w:r>
    </w:p>
    <w:p w:rsidR="0014397A" w:rsidRPr="00F1352F" w:rsidRDefault="0014397A" w:rsidP="0014397A">
      <w:pPr>
        <w:ind w:firstLine="567"/>
      </w:pPr>
      <w:r w:rsidRPr="00F1352F">
        <w:t>I.3.2 Seznam souřadnic a výšek bodů vytyčovací sítě</w:t>
      </w:r>
    </w:p>
    <w:p w:rsidR="0014397A" w:rsidRDefault="0014397A" w:rsidP="0014397A">
      <w:pPr>
        <w:ind w:firstLine="567"/>
      </w:pPr>
      <w:r w:rsidRPr="00F1352F">
        <w:t>I.3.3 Místopisy bodů vytyčovací sítě</w:t>
      </w:r>
    </w:p>
    <w:p w:rsidR="0014397A" w:rsidRPr="00F1352F" w:rsidRDefault="0014397A" w:rsidP="0014397A">
      <w:pPr>
        <w:pStyle w:val="Nadpis2"/>
        <w:spacing w:line="480" w:lineRule="auto"/>
      </w:pPr>
      <w:r w:rsidRPr="00F1352F">
        <w:t>I.4 KOORDINAČNÍ VYTYČOVACÍ VÝKRES</w:t>
      </w:r>
    </w:p>
    <w:p w:rsidR="0014397A" w:rsidRDefault="0014397A" w:rsidP="0014397A">
      <w:pPr>
        <w:ind w:left="142" w:firstLine="709"/>
      </w:pPr>
      <w:r w:rsidRPr="009E2576">
        <w:rPr>
          <w:rFonts w:eastAsia="MS Mincho"/>
        </w:rPr>
        <w:t xml:space="preserve">Pro předmětnou stavbu byl zpracován souhrnný vytyčovací výkres, zahrnující veškeré stavební objekty (SO) a provozní soubory (PS), které jsou předmětem vytyčení. </w:t>
      </w:r>
      <w:r w:rsidRPr="009E2576">
        <w:t>Podkladem pro Koordinační vytyčovací výkres byl výkres SO vypracovaný odpovědným projektantem. Koordinační vytyčovací výkres obsahuje charakteristické body SO, PS a kresbu situace.</w:t>
      </w:r>
    </w:p>
    <w:p w:rsidR="00B17E64" w:rsidRDefault="00B17E64" w:rsidP="00B17E64">
      <w:pPr>
        <w:ind w:firstLine="502"/>
        <w:rPr>
          <w:u w:val="single"/>
        </w:rPr>
      </w:pPr>
      <w:r>
        <w:rPr>
          <w:u w:val="single"/>
        </w:rPr>
        <w:t>Kontrola skutečné polohy koleje před realizací stavby</w:t>
      </w:r>
    </w:p>
    <w:p w:rsidR="00B17E64" w:rsidRPr="009E2576" w:rsidRDefault="00B17E64" w:rsidP="00B17E64">
      <w:pPr>
        <w:ind w:firstLine="502"/>
      </w:pPr>
      <w:r w:rsidRPr="00377A8F">
        <w:t>V současné době je připravována opravná práce Správy tratí spočívající ve výš</w:t>
      </w:r>
      <w:r>
        <w:t xml:space="preserve">kové úpravě kolejiště. Prozatím </w:t>
      </w:r>
      <w:r w:rsidRPr="00377A8F">
        <w:t xml:space="preserve">není znám termín těchto prací. Na základě této informace je </w:t>
      </w:r>
      <w:r>
        <w:t xml:space="preserve">potřebné </w:t>
      </w:r>
      <w:r w:rsidRPr="00377A8F">
        <w:t>ověření skutečné polohy příslušných os kolejí před samotnou realizací stavby.</w:t>
      </w:r>
    </w:p>
    <w:p w:rsidR="0014397A" w:rsidRPr="009E2576" w:rsidRDefault="0014397A" w:rsidP="005E412F">
      <w:pPr>
        <w:ind w:firstLine="567"/>
      </w:pPr>
      <w:proofErr w:type="gramStart"/>
      <w:r w:rsidRPr="009E2576">
        <w:t>Část I.4 obsahuje</w:t>
      </w:r>
      <w:proofErr w:type="gramEnd"/>
      <w:r w:rsidRPr="009E2576">
        <w:t>:</w:t>
      </w:r>
    </w:p>
    <w:p w:rsidR="0014397A" w:rsidRPr="009E2576" w:rsidRDefault="0014397A" w:rsidP="005E412F">
      <w:pPr>
        <w:ind w:firstLine="567"/>
      </w:pPr>
      <w:r w:rsidRPr="009E2576">
        <w:t>I.4.1 Koordinační vytyčovací výkres</w:t>
      </w:r>
    </w:p>
    <w:p w:rsidR="0014397A" w:rsidRPr="009E2576" w:rsidRDefault="0014397A" w:rsidP="005E412F">
      <w:pPr>
        <w:ind w:firstLine="567"/>
      </w:pPr>
      <w:proofErr w:type="gramStart"/>
      <w:r w:rsidRPr="009E2576">
        <w:t>I.4.2</w:t>
      </w:r>
      <w:proofErr w:type="gramEnd"/>
      <w:r w:rsidRPr="009E2576">
        <w:t xml:space="preserve"> Seznam souřadnic vytyčovaných bodů (pouze digitálně)</w:t>
      </w:r>
    </w:p>
    <w:p w:rsidR="0014397A" w:rsidRPr="009E2576" w:rsidRDefault="0014397A" w:rsidP="0014397A">
      <w:pPr>
        <w:pStyle w:val="Nadpis2"/>
        <w:spacing w:line="480" w:lineRule="auto"/>
      </w:pPr>
      <w:proofErr w:type="gramStart"/>
      <w:r w:rsidRPr="009E2576">
        <w:t>I.5 OBVOD</w:t>
      </w:r>
      <w:proofErr w:type="gramEnd"/>
      <w:r w:rsidRPr="009E2576">
        <w:t xml:space="preserve"> STAVBY </w:t>
      </w:r>
    </w:p>
    <w:p w:rsidR="0014397A" w:rsidRPr="009E2576" w:rsidRDefault="0014397A" w:rsidP="0014397A">
      <w:pPr>
        <w:ind w:firstLine="567"/>
      </w:pPr>
      <w:r w:rsidRPr="009E2576">
        <w:rPr>
          <w:rFonts w:eastAsia="MS Mincho"/>
        </w:rPr>
        <w:t>Výkresová dokumentace obvodu stavby slouží pro vyt</w:t>
      </w:r>
      <w:r w:rsidR="0071668B">
        <w:rPr>
          <w:rFonts w:eastAsia="MS Mincho"/>
        </w:rPr>
        <w:t>y</w:t>
      </w:r>
      <w:r w:rsidRPr="009E2576">
        <w:rPr>
          <w:rFonts w:eastAsia="MS Mincho"/>
        </w:rPr>
        <w:t>čení obvodu stavby</w:t>
      </w:r>
      <w:r w:rsidRPr="009E2576">
        <w:t>.</w:t>
      </w:r>
    </w:p>
    <w:p w:rsidR="0014397A" w:rsidRPr="009E2576" w:rsidRDefault="0014397A" w:rsidP="0014397A">
      <w:pPr>
        <w:ind w:firstLine="360"/>
      </w:pPr>
      <w:r w:rsidRPr="009E2576">
        <w:t xml:space="preserve">Jako mapový podklad pro výkresovou dokumentaci obvodu stavby byla použita katastrální mapa s vyznačením pozemků ve vlastnictví ČR – Správa železniční dopravní cesty, </w:t>
      </w:r>
      <w:proofErr w:type="spellStart"/>
      <w:proofErr w:type="gramStart"/>
      <w:r w:rsidRPr="009E2576">
        <w:t>s.o</w:t>
      </w:r>
      <w:proofErr w:type="spellEnd"/>
      <w:r w:rsidRPr="009E2576">
        <w:t>.</w:t>
      </w:r>
      <w:proofErr w:type="gramEnd"/>
      <w:r w:rsidR="003826AC">
        <w:t xml:space="preserve"> a Českých drah a.s..</w:t>
      </w:r>
    </w:p>
    <w:p w:rsidR="0014397A" w:rsidRPr="009E2576" w:rsidRDefault="0014397A" w:rsidP="0014397A">
      <w:pPr>
        <w:ind w:firstLine="567"/>
      </w:pPr>
      <w:r w:rsidRPr="009E2576">
        <w:lastRenderedPageBreak/>
        <w:t>Část Obvod stavby obsahuje:</w:t>
      </w:r>
    </w:p>
    <w:p w:rsidR="0014397A" w:rsidRPr="009E2576" w:rsidRDefault="0014397A" w:rsidP="0014397A">
      <w:pPr>
        <w:ind w:firstLine="567"/>
      </w:pPr>
      <w:r w:rsidRPr="009E2576">
        <w:t>I.5.1 Obvod stavby</w:t>
      </w:r>
    </w:p>
    <w:p w:rsidR="0014397A" w:rsidRDefault="0014397A" w:rsidP="00132F44">
      <w:pPr>
        <w:ind w:firstLine="567"/>
      </w:pPr>
      <w:proofErr w:type="gramStart"/>
      <w:r w:rsidRPr="009E2576">
        <w:t>I.5.2</w:t>
      </w:r>
      <w:proofErr w:type="gramEnd"/>
      <w:r w:rsidRPr="009E2576">
        <w:t xml:space="preserve"> Seznam souřadnic obvodu stavby</w:t>
      </w:r>
    </w:p>
    <w:p w:rsidR="00087012" w:rsidRDefault="00087012" w:rsidP="006F284A">
      <w:pPr>
        <w:spacing w:line="480" w:lineRule="auto"/>
        <w:rPr>
          <w:b/>
          <w:sz w:val="28"/>
          <w:szCs w:val="28"/>
        </w:rPr>
      </w:pPr>
    </w:p>
    <w:p w:rsidR="009477BC" w:rsidRPr="009E2576" w:rsidRDefault="00BC6DE9" w:rsidP="006F284A">
      <w:pPr>
        <w:spacing w:line="480" w:lineRule="auto"/>
        <w:rPr>
          <w:b/>
          <w:sz w:val="28"/>
          <w:szCs w:val="28"/>
        </w:rPr>
      </w:pPr>
      <w:proofErr w:type="gramStart"/>
      <w:r w:rsidRPr="00EB3DB2">
        <w:rPr>
          <w:b/>
          <w:sz w:val="28"/>
          <w:szCs w:val="28"/>
        </w:rPr>
        <w:t>I.</w:t>
      </w:r>
      <w:r w:rsidR="00682E75">
        <w:rPr>
          <w:b/>
          <w:sz w:val="28"/>
          <w:szCs w:val="28"/>
        </w:rPr>
        <w:t>6</w:t>
      </w:r>
      <w:r w:rsidR="008643AC" w:rsidRPr="00EB3DB2">
        <w:rPr>
          <w:b/>
          <w:sz w:val="28"/>
          <w:szCs w:val="28"/>
        </w:rPr>
        <w:t xml:space="preserve"> </w:t>
      </w:r>
      <w:r w:rsidR="009477BC" w:rsidRPr="009E2576">
        <w:rPr>
          <w:b/>
          <w:sz w:val="28"/>
          <w:szCs w:val="28"/>
        </w:rPr>
        <w:t>Geodetické</w:t>
      </w:r>
      <w:proofErr w:type="gramEnd"/>
      <w:r w:rsidR="009477BC" w:rsidRPr="009E2576">
        <w:rPr>
          <w:b/>
          <w:sz w:val="28"/>
          <w:szCs w:val="28"/>
        </w:rPr>
        <w:t xml:space="preserve"> </w:t>
      </w:r>
      <w:r w:rsidR="006F284A" w:rsidRPr="009E2576">
        <w:rPr>
          <w:b/>
          <w:sz w:val="28"/>
          <w:szCs w:val="28"/>
        </w:rPr>
        <w:t>a mapové podklady</w:t>
      </w:r>
    </w:p>
    <w:p w:rsidR="00E01EFD" w:rsidRDefault="00E01EFD" w:rsidP="00E01EFD">
      <w:pPr>
        <w:ind w:firstLine="284"/>
      </w:pPr>
      <w:r>
        <w:t>Jako podklad pro projekční práce byly použity níže uvedené podklady a zaměření provedené na základě požadavků projektantů.</w:t>
      </w:r>
    </w:p>
    <w:p w:rsidR="00E01EFD" w:rsidRPr="00E01EFD" w:rsidRDefault="00E01EFD" w:rsidP="00E01EFD">
      <w:pPr>
        <w:ind w:firstLine="284"/>
      </w:pPr>
    </w:p>
    <w:p w:rsidR="00E01EFD" w:rsidRDefault="00E01EFD" w:rsidP="00E01EFD">
      <w:pPr>
        <w:rPr>
          <w:u w:val="single"/>
        </w:rPr>
      </w:pPr>
      <w:r w:rsidRPr="00535678">
        <w:rPr>
          <w:u w:val="single"/>
        </w:rPr>
        <w:t>Stávající podklady</w:t>
      </w:r>
    </w:p>
    <w:p w:rsidR="00A91E55" w:rsidRPr="00311F3D" w:rsidRDefault="00A91E55" w:rsidP="00A91E55">
      <w:pPr>
        <w:ind w:firstLine="502"/>
      </w:pPr>
      <w:r w:rsidRPr="00311F3D">
        <w:t xml:space="preserve">Jako mapový podklad bylo využito zaměření „Rekonstrukce </w:t>
      </w:r>
      <w:proofErr w:type="spellStart"/>
      <w:r w:rsidRPr="00311F3D">
        <w:t>žst</w:t>
      </w:r>
      <w:proofErr w:type="spellEnd"/>
      <w:r w:rsidRPr="00311F3D">
        <w:t xml:space="preserve">. Přerov 1.stavba“ z roku 2013 a Zaměření osy kolejí a omezujících prvků přerovského přednádraží „Přerov SSV“ z roku 2017. Tyto podklady byly vyhotoveny dle dřívějších předpisů a momentálně nesplňují předpis SŽDC M20/MP005. Pro projekční práce byly tyto podklady dostačující ve formě, v jaké jsme je převzali. </w:t>
      </w:r>
    </w:p>
    <w:p w:rsidR="00A91E55" w:rsidRPr="00311F3D" w:rsidRDefault="00A91E55" w:rsidP="00A91E55">
      <w:pPr>
        <w:ind w:firstLine="502"/>
      </w:pPr>
      <w:r w:rsidRPr="00311F3D">
        <w:t>Pro možné využití těchto podkladů při vyhotovování dokumentace skutečného provedení stavby (DSPS) bude potřeba výkresy a seznamy souřadnic uvést do souladu s předpisem SŽDC M20/MP005.</w:t>
      </w:r>
    </w:p>
    <w:p w:rsidR="00A91E55" w:rsidRDefault="00A91E55" w:rsidP="00A91E55">
      <w:pPr>
        <w:ind w:firstLine="502"/>
      </w:pPr>
      <w:r w:rsidRPr="00311F3D">
        <w:t>Použité podklady jsou uloženy jako 3D výkresy v souřadnicovém systému S-JTSK a výškovém systému Baltském po vyrovnání.</w:t>
      </w:r>
    </w:p>
    <w:p w:rsidR="00E01EFD" w:rsidRDefault="00E01EFD" w:rsidP="00A91E55">
      <w:pPr>
        <w:ind w:firstLine="502"/>
      </w:pPr>
    </w:p>
    <w:p w:rsidR="00E01EFD" w:rsidRDefault="00706B48" w:rsidP="00E01EFD">
      <w:pPr>
        <w:rPr>
          <w:u w:val="single"/>
        </w:rPr>
      </w:pPr>
      <w:r>
        <w:rPr>
          <w:u w:val="single"/>
        </w:rPr>
        <w:t>Nové zaměření</w:t>
      </w:r>
    </w:p>
    <w:p w:rsidR="007B7E91" w:rsidRDefault="00311F3D" w:rsidP="007B7E91">
      <w:pPr>
        <w:ind w:firstLine="502"/>
      </w:pPr>
      <w:r w:rsidRPr="00311F3D">
        <w:t xml:space="preserve">Pro potřeby projektantů bylo </w:t>
      </w:r>
      <w:r>
        <w:t>provedeno doměření</w:t>
      </w:r>
      <w:r w:rsidR="007B7E91">
        <w:t xml:space="preserve"> tří lokalit</w:t>
      </w:r>
      <w:r w:rsidR="00E01EFD">
        <w:t xml:space="preserve"> na přednádraží v rozsahu km 181,670 – 181,8</w:t>
      </w:r>
      <w:r w:rsidR="00630BAE">
        <w:t>40</w:t>
      </w:r>
      <w:r w:rsidR="006F08B8">
        <w:t xml:space="preserve"> (koleje č.212, 214, 216, 218, 220, 222, 224, 226, 228,230, 238, 240, 201</w:t>
      </w:r>
      <w:r w:rsidR="00630BAE">
        <w:t xml:space="preserve">, </w:t>
      </w:r>
      <w:r w:rsidR="006F08B8">
        <w:t xml:space="preserve">km </w:t>
      </w:r>
      <w:r w:rsidR="00630BAE">
        <w:t>182,080 – 182,260</w:t>
      </w:r>
      <w:r w:rsidR="005F5B92">
        <w:t xml:space="preserve"> (koleje č.210, 212, 214, 216, 218, 220)</w:t>
      </w:r>
      <w:r w:rsidR="00630BAE">
        <w:t xml:space="preserve">, </w:t>
      </w:r>
      <w:r w:rsidR="006F08B8">
        <w:t xml:space="preserve">km </w:t>
      </w:r>
      <w:r w:rsidR="00630BAE">
        <w:t>182,580 – 182,660</w:t>
      </w:r>
      <w:r w:rsidR="005F5B92">
        <w:t xml:space="preserve"> (koleje č.276, 230, 212, 210, 218)</w:t>
      </w:r>
      <w:r w:rsidR="007B7E91">
        <w:t xml:space="preserve">. Mapování proběhlo v listopadu 2019. </w:t>
      </w:r>
      <w:r w:rsidR="007B7E91" w:rsidRPr="00FC0384">
        <w:t xml:space="preserve">Jako základ pro nové zaměření bylo použito železniční bodové pole vybudované Správou železniční geodézie </w:t>
      </w:r>
      <w:r w:rsidR="007B7E91">
        <w:t>Olomouc</w:t>
      </w:r>
      <w:r w:rsidR="007B7E91" w:rsidRPr="00FC0384">
        <w:t xml:space="preserve">. Bodové pole i všechny mapové podklady jsou polohově určené v souřadnicovém systému S-JTSK a výškově jsou určeny ve výškovém systému </w:t>
      </w:r>
      <w:r w:rsidR="007B7E91">
        <w:t>B</w:t>
      </w:r>
      <w:r w:rsidR="007B7E91" w:rsidRPr="00FC0384">
        <w:t>altský po vyrovnání.</w:t>
      </w:r>
    </w:p>
    <w:p w:rsidR="00706B48" w:rsidRDefault="00706B48" w:rsidP="007B7E91">
      <w:pPr>
        <w:ind w:firstLine="502"/>
      </w:pPr>
      <w:r w:rsidRPr="006228BC">
        <w:t>Zaměřeny byly součásti železničního svršku, spodku a další objekty nacházející se v zájmové lokalitě.</w:t>
      </w:r>
      <w:r>
        <w:t xml:space="preserve"> </w:t>
      </w:r>
      <w:r w:rsidR="00377A8F">
        <w:t xml:space="preserve">Osy koleje byly ověřeny zaměřením identických bodů a na základě vyhovujících odchylek byly převzaty ze stávajícího podkladu </w:t>
      </w:r>
      <w:r w:rsidR="00DD4D89">
        <w:t xml:space="preserve">- </w:t>
      </w:r>
      <w:r w:rsidR="00DD4D89" w:rsidRPr="00DD4D89">
        <w:rPr>
          <w:i/>
          <w:iCs/>
        </w:rPr>
        <w:t xml:space="preserve">Zaměření osy kolejí a omezujících prvků přerovského </w:t>
      </w:r>
      <w:r w:rsidR="00DD4D89" w:rsidRPr="00DD4D89">
        <w:rPr>
          <w:i/>
          <w:iCs/>
        </w:rPr>
        <w:lastRenderedPageBreak/>
        <w:t>přednádraží „Přerov SSV“</w:t>
      </w:r>
      <w:r w:rsidR="006F08B8">
        <w:t>. Zároveň byly doměřeny některé charakteristické body osy kolejí</w:t>
      </w:r>
      <w:r w:rsidR="00377A8F">
        <w:t>,</w:t>
      </w:r>
      <w:r w:rsidR="006F08B8">
        <w:t xml:space="preserve"> jako je jazyk výhybky a počítače náprav</w:t>
      </w:r>
      <w:r w:rsidR="00377A8F">
        <w:t>, které nebyly v těchto podkladech</w:t>
      </w:r>
      <w:r w:rsidR="006F08B8">
        <w:t xml:space="preserve">. </w:t>
      </w:r>
    </w:p>
    <w:p w:rsidR="007B7E91" w:rsidRPr="00FC0384" w:rsidRDefault="007B7E91" w:rsidP="007B7E91">
      <w:pPr>
        <w:ind w:left="142" w:firstLine="425"/>
      </w:pPr>
      <w:r>
        <w:t>Z</w:t>
      </w:r>
      <w:r w:rsidRPr="00FC0384">
        <w:t>aměření je vyhotoveno jako 3D výkres a v jednotlivých vrstvách zobrazení obsahuje polohy bodu, čísla bodu, nadmořskou výšku bodu, kresbu situace, smluvené značky atd. dle předpisu SŽDC M20/MP005. Zaměřený úsek byl po vyhodnocení celého souboru naměřených dat použit jako podklad pro vyhotovení situace v</w:t>
      </w:r>
      <w:r>
        <w:t>e</w:t>
      </w:r>
      <w:r w:rsidRPr="00FC0384">
        <w:t xml:space="preserve"> vztažném měřítku 1:1000, která je součástí </w:t>
      </w:r>
      <w:proofErr w:type="gramStart"/>
      <w:r w:rsidRPr="00FC0384">
        <w:t xml:space="preserve">přílohy </w:t>
      </w:r>
      <w:r w:rsidRPr="006D5B97">
        <w:rPr>
          <w:i/>
          <w:iCs/>
        </w:rPr>
        <w:t>I.6.1</w:t>
      </w:r>
      <w:proofErr w:type="gramEnd"/>
      <w:r w:rsidRPr="006D5B97">
        <w:rPr>
          <w:i/>
          <w:iCs/>
        </w:rPr>
        <w:t xml:space="preserve">  Situace</w:t>
      </w:r>
      <w:r w:rsidRPr="00FC0384">
        <w:t>.</w:t>
      </w:r>
    </w:p>
    <w:p w:rsidR="007B7E91" w:rsidRDefault="007B7E91" w:rsidP="007B7E91">
      <w:pPr>
        <w:ind w:firstLine="502"/>
      </w:pPr>
      <w:r w:rsidRPr="00FC0384">
        <w:t xml:space="preserve">Pro zaměření byla použita totální stanice </w:t>
      </w:r>
      <w:proofErr w:type="spellStart"/>
      <w:r w:rsidRPr="00FC0384">
        <w:t>Geomax</w:t>
      </w:r>
      <w:proofErr w:type="spellEnd"/>
      <w:r w:rsidRPr="00FC0384">
        <w:t xml:space="preserve"> Zoom90R. V nedostupných částech pro klasické terestrické měření byla použita GNSS aparatura </w:t>
      </w:r>
      <w:proofErr w:type="spellStart"/>
      <w:r w:rsidRPr="00FC0384">
        <w:t>Topcon</w:t>
      </w:r>
      <w:proofErr w:type="spellEnd"/>
      <w:r w:rsidRPr="00FC0384">
        <w:t xml:space="preserve"> </w:t>
      </w:r>
      <w:proofErr w:type="spellStart"/>
      <w:r w:rsidRPr="00FC0384">
        <w:t>HiPerSR</w:t>
      </w:r>
      <w:proofErr w:type="spellEnd"/>
      <w:r w:rsidRPr="00FC0384">
        <w:t xml:space="preserve"> s kontrolou na bodech ŽBP. Dále byl použit výpočetní program </w:t>
      </w:r>
      <w:proofErr w:type="spellStart"/>
      <w:r w:rsidRPr="00FC0384">
        <w:t>Groma</w:t>
      </w:r>
      <w:proofErr w:type="spellEnd"/>
      <w:r w:rsidRPr="00FC0384">
        <w:t xml:space="preserve"> v 11.0 a </w:t>
      </w:r>
      <w:proofErr w:type="spellStart"/>
      <w:r w:rsidRPr="00FC0384">
        <w:t>Microstation</w:t>
      </w:r>
      <w:proofErr w:type="spellEnd"/>
      <w:r w:rsidRPr="00FC0384">
        <w:t xml:space="preserve"> V8i s MGEO (v18.12.06) a nadstavbou SŽDC (v181029.0). Celá dokumentace i se zápisníky a výpočetní protokoly jsou uloženy v archivu </w:t>
      </w:r>
      <w:proofErr w:type="spellStart"/>
      <w:r w:rsidRPr="00FC0384">
        <w:t>EXprojekt</w:t>
      </w:r>
      <w:proofErr w:type="spellEnd"/>
      <w:r w:rsidRPr="00FC0384">
        <w:t xml:space="preserve"> s.r.o. </w:t>
      </w:r>
      <w:r>
        <w:t xml:space="preserve">  </w:t>
      </w:r>
    </w:p>
    <w:p w:rsidR="00377A8F" w:rsidRDefault="00377A8F" w:rsidP="00A91E55">
      <w:pPr>
        <w:ind w:firstLine="502"/>
      </w:pPr>
    </w:p>
    <w:p w:rsidR="00A91E55" w:rsidRPr="004A2CF4" w:rsidRDefault="00A91E55" w:rsidP="00A91E55">
      <w:pPr>
        <w:ind w:firstLine="502"/>
      </w:pPr>
      <w:proofErr w:type="gramStart"/>
      <w:r w:rsidRPr="004A2CF4">
        <w:t>Část I.6 Geodetické</w:t>
      </w:r>
      <w:proofErr w:type="gramEnd"/>
      <w:r w:rsidRPr="004A2CF4">
        <w:t xml:space="preserve"> a mapové podklady obsahuje:</w:t>
      </w:r>
    </w:p>
    <w:p w:rsidR="006F08B8" w:rsidRPr="004A2CF4" w:rsidRDefault="004A2CF4" w:rsidP="00A91E55">
      <w:pPr>
        <w:ind w:firstLine="502"/>
      </w:pPr>
      <w:r w:rsidRPr="004A2CF4">
        <w:t>I.6.1 Situace</w:t>
      </w:r>
    </w:p>
    <w:p w:rsidR="004A2CF4" w:rsidRDefault="004A2CF4" w:rsidP="00A91E55">
      <w:pPr>
        <w:ind w:firstLine="502"/>
      </w:pPr>
      <w:r w:rsidRPr="004A2CF4">
        <w:t>I.6.2 Seznam souřadnic podrobných bodů</w:t>
      </w:r>
    </w:p>
    <w:p w:rsidR="004A2CF4" w:rsidRDefault="004A2CF4" w:rsidP="00A91E55">
      <w:pPr>
        <w:ind w:firstLine="502"/>
      </w:pPr>
      <w:r>
        <w:t>I.6.3 Podklady</w:t>
      </w:r>
    </w:p>
    <w:p w:rsidR="00772E02" w:rsidRPr="00682E75" w:rsidRDefault="00772E02" w:rsidP="00CA5011"/>
    <w:p w:rsidR="00FB4FFC" w:rsidRPr="00682E75" w:rsidRDefault="00416B54" w:rsidP="00412029">
      <w:pPr>
        <w:ind w:left="142"/>
      </w:pPr>
      <w:r w:rsidRPr="00682E75">
        <w:t xml:space="preserve">V Brně, </w:t>
      </w:r>
      <w:r w:rsidR="00A91E55">
        <w:t xml:space="preserve">prosinec </w:t>
      </w:r>
      <w:r w:rsidR="00780C53" w:rsidRPr="00682E75">
        <w:t>201</w:t>
      </w:r>
      <w:r w:rsidR="00682E75">
        <w:t>9</w:t>
      </w:r>
      <w:r w:rsidRPr="00682E75">
        <w:tab/>
      </w:r>
      <w:r w:rsidRPr="00682E75">
        <w:tab/>
      </w:r>
      <w:r w:rsidRPr="00682E75">
        <w:tab/>
      </w:r>
      <w:r w:rsidRPr="00682E75">
        <w:tab/>
      </w:r>
      <w:r w:rsidR="00EF6C5F" w:rsidRPr="00682E75">
        <w:tab/>
      </w:r>
      <w:r w:rsidR="00562CE3" w:rsidRPr="00682E75">
        <w:t>Vyhotovil</w:t>
      </w:r>
      <w:r w:rsidRPr="00682E75">
        <w:t xml:space="preserve">: Ing. </w:t>
      </w:r>
      <w:r w:rsidR="00682E75">
        <w:t xml:space="preserve">Lucie </w:t>
      </w:r>
      <w:r w:rsidR="00A91E55">
        <w:t>Puczoková</w:t>
      </w:r>
    </w:p>
    <w:p w:rsidR="008643AC" w:rsidRPr="00682E75" w:rsidRDefault="008643AC" w:rsidP="00412029">
      <w:pPr>
        <w:ind w:left="142"/>
      </w:pPr>
    </w:p>
    <w:p w:rsidR="00682E75" w:rsidRPr="0014397A" w:rsidRDefault="00682E75" w:rsidP="00412029">
      <w:pPr>
        <w:ind w:left="142"/>
        <w:rPr>
          <w:b/>
          <w:highlight w:val="yellow"/>
        </w:rPr>
      </w:pPr>
    </w:p>
    <w:p w:rsidR="00DC408C" w:rsidRPr="00682E75" w:rsidRDefault="00DC408C" w:rsidP="00412029">
      <w:pPr>
        <w:ind w:left="142"/>
        <w:rPr>
          <w:b/>
        </w:rPr>
      </w:pPr>
      <w:r w:rsidRPr="00682E75">
        <w:rPr>
          <w:b/>
        </w:rPr>
        <w:t>Náležitostmi a přesností odpovídá právním předpisům</w:t>
      </w:r>
    </w:p>
    <w:p w:rsidR="00682E75" w:rsidRDefault="00682E75" w:rsidP="008643AC">
      <w:pPr>
        <w:ind w:left="142"/>
      </w:pPr>
    </w:p>
    <w:p w:rsidR="00B17E64" w:rsidRDefault="00B17E64" w:rsidP="008643AC">
      <w:pPr>
        <w:ind w:left="142"/>
      </w:pPr>
    </w:p>
    <w:p w:rsidR="00B17E64" w:rsidRDefault="00B17E64" w:rsidP="008643AC">
      <w:pPr>
        <w:ind w:left="142"/>
      </w:pPr>
    </w:p>
    <w:p w:rsidR="00B17E64" w:rsidRDefault="00B17E64" w:rsidP="008643AC">
      <w:pPr>
        <w:ind w:left="142"/>
      </w:pPr>
    </w:p>
    <w:p w:rsidR="00B17E64" w:rsidRPr="00682E75" w:rsidRDefault="00B17E64" w:rsidP="008643AC">
      <w:pPr>
        <w:ind w:left="142"/>
      </w:pPr>
    </w:p>
    <w:p w:rsidR="00E91585" w:rsidRPr="00682E75" w:rsidRDefault="00E91585" w:rsidP="00E91585">
      <w:pPr>
        <w:ind w:left="142"/>
        <w:jc w:val="center"/>
      </w:pPr>
      <w:r w:rsidRPr="00682E75">
        <w:t>Ing. Bohumil Brechta</w:t>
      </w:r>
    </w:p>
    <w:p w:rsidR="00E91585" w:rsidRPr="00682E75" w:rsidRDefault="00E91585" w:rsidP="00E91585">
      <w:pPr>
        <w:spacing w:line="240" w:lineRule="auto"/>
        <w:jc w:val="center"/>
      </w:pPr>
      <w:r w:rsidRPr="00682E75">
        <w:t>Oprávněný ověřovat výsledky zeměměřičských činností</w:t>
      </w:r>
    </w:p>
    <w:p w:rsidR="00E91585" w:rsidRPr="00682E75" w:rsidRDefault="00E91585" w:rsidP="00E91585">
      <w:pPr>
        <w:spacing w:line="240" w:lineRule="auto"/>
        <w:jc w:val="center"/>
      </w:pPr>
      <w:r w:rsidRPr="00682E75">
        <w:t>dle § 13 odstavce 1 písmene c) zákona číslo 200/1994 Sbírky</w:t>
      </w:r>
    </w:p>
    <w:p w:rsidR="00755ADF" w:rsidRPr="00682E75" w:rsidRDefault="00E91585" w:rsidP="00E91585">
      <w:pPr>
        <w:spacing w:line="240" w:lineRule="auto"/>
        <w:jc w:val="center"/>
      </w:pPr>
      <w:r w:rsidRPr="00682E75">
        <w:t>Číslo položky v seznamu fyzických osob: 2410/08</w:t>
      </w:r>
    </w:p>
    <w:p w:rsidR="008643AC" w:rsidRPr="00682E75" w:rsidRDefault="008643AC" w:rsidP="008643AC">
      <w:pPr>
        <w:ind w:left="142"/>
        <w:rPr>
          <w:b/>
        </w:rPr>
      </w:pPr>
      <w:bookmarkStart w:id="0" w:name="_GoBack"/>
      <w:bookmarkEnd w:id="0"/>
      <w:r w:rsidRPr="00682E75">
        <w:rPr>
          <w:b/>
        </w:rPr>
        <w:lastRenderedPageBreak/>
        <w:t>Geodetickou dokumentaci tvoří:</w:t>
      </w:r>
    </w:p>
    <w:p w:rsidR="008643AC" w:rsidRPr="00682E75" w:rsidRDefault="008643AC" w:rsidP="008643AC">
      <w:pPr>
        <w:ind w:left="142"/>
      </w:pPr>
    </w:p>
    <w:p w:rsidR="008643AC" w:rsidRPr="00682E75" w:rsidRDefault="00772E02" w:rsidP="008643AC">
      <w:pPr>
        <w:ind w:left="142"/>
      </w:pPr>
      <w:r w:rsidRPr="00682E75">
        <w:t>I.</w:t>
      </w:r>
      <w:r w:rsidR="008643AC" w:rsidRPr="00682E75">
        <w:t>1 Technická zpráva</w:t>
      </w:r>
    </w:p>
    <w:p w:rsidR="008643AC" w:rsidRPr="00682E75" w:rsidRDefault="00772E02" w:rsidP="008643AC">
      <w:pPr>
        <w:ind w:left="142"/>
      </w:pPr>
      <w:r w:rsidRPr="00682E75">
        <w:t>I.</w:t>
      </w:r>
      <w:r w:rsidR="008643AC" w:rsidRPr="00682E75">
        <w:t xml:space="preserve">2 Majetkoprávní část </w:t>
      </w:r>
    </w:p>
    <w:p w:rsidR="00562CE3" w:rsidRPr="00682E75" w:rsidRDefault="00562CE3" w:rsidP="00562CE3">
      <w:pPr>
        <w:ind w:firstLine="502"/>
      </w:pPr>
      <w:r w:rsidRPr="00682E75">
        <w:t>I.2.1 Seznamy nemovitostí</w:t>
      </w:r>
    </w:p>
    <w:p w:rsidR="00562CE3" w:rsidRPr="00682E75" w:rsidRDefault="00562CE3" w:rsidP="00562CE3">
      <w:pPr>
        <w:ind w:left="142" w:firstLine="992"/>
      </w:pPr>
      <w:r w:rsidRPr="00682E75">
        <w:t>I.2.1.1 Seznam dotčených nemovitostí</w:t>
      </w:r>
    </w:p>
    <w:p w:rsidR="00562CE3" w:rsidRDefault="00562CE3" w:rsidP="00562CE3">
      <w:pPr>
        <w:ind w:left="142" w:firstLine="992"/>
      </w:pPr>
      <w:r w:rsidRPr="00682E75">
        <w:t>I.2.1.2 Seznam sousedních nemovitostí</w:t>
      </w:r>
    </w:p>
    <w:p w:rsidR="00236C94" w:rsidRPr="00F5727B" w:rsidRDefault="00236C94" w:rsidP="00236C94">
      <w:pPr>
        <w:ind w:left="142" w:firstLine="992"/>
      </w:pPr>
      <w:r>
        <w:t>I.2.1.3 Seznam dotčených nemovitostí dle UMVŽST</w:t>
      </w:r>
    </w:p>
    <w:p w:rsidR="00562CE3" w:rsidRPr="00682E75" w:rsidRDefault="00562CE3" w:rsidP="00562CE3">
      <w:pPr>
        <w:ind w:firstLine="502"/>
      </w:pPr>
      <w:r w:rsidRPr="00682E75">
        <w:t>I.2.2. Údaje z katastru nemovitostí</w:t>
      </w:r>
      <w:r w:rsidR="002919CC">
        <w:t xml:space="preserve"> (pouze digitálně)</w:t>
      </w:r>
    </w:p>
    <w:p w:rsidR="00562CE3" w:rsidRDefault="00562CE3" w:rsidP="00562CE3">
      <w:pPr>
        <w:ind w:firstLine="502"/>
      </w:pPr>
      <w:r w:rsidRPr="00682E75">
        <w:t xml:space="preserve">I.2.3 Předběžný výkres výkupu pozemků </w:t>
      </w:r>
    </w:p>
    <w:p w:rsidR="00236C94" w:rsidRPr="00682E75" w:rsidRDefault="00236C94" w:rsidP="00562CE3">
      <w:pPr>
        <w:ind w:firstLine="502"/>
      </w:pPr>
      <w:r>
        <w:t>I.2.4 Předběžný výkres výkupu pozemků dle UMVŽST</w:t>
      </w:r>
    </w:p>
    <w:p w:rsidR="008643AC" w:rsidRPr="00682E75" w:rsidRDefault="0061320D" w:rsidP="008643AC">
      <w:pPr>
        <w:ind w:left="142"/>
      </w:pPr>
      <w:r w:rsidRPr="00682E75">
        <w:t>I.3</w:t>
      </w:r>
      <w:r w:rsidR="008643AC" w:rsidRPr="00682E75">
        <w:t xml:space="preserve"> </w:t>
      </w:r>
      <w:r w:rsidR="00682E75">
        <w:t>Návrh vytyčovací sítě</w:t>
      </w:r>
    </w:p>
    <w:p w:rsidR="00682E75" w:rsidRPr="00F1352F" w:rsidRDefault="00682E75" w:rsidP="00682E75">
      <w:pPr>
        <w:ind w:firstLine="567"/>
      </w:pPr>
      <w:r w:rsidRPr="00F1352F">
        <w:t xml:space="preserve">I.3.1 Návrh vytyčovací sítě </w:t>
      </w:r>
      <w:r w:rsidR="0071668B">
        <w:t>(pouze digitálně)</w:t>
      </w:r>
    </w:p>
    <w:p w:rsidR="00682E75" w:rsidRPr="00F1352F" w:rsidRDefault="00682E75" w:rsidP="00682E75">
      <w:pPr>
        <w:ind w:firstLine="567"/>
      </w:pPr>
      <w:r w:rsidRPr="00F1352F">
        <w:t>I.3.2 Seznam souřadnic a výšek bodů vytyčovací sítě</w:t>
      </w:r>
    </w:p>
    <w:p w:rsidR="00D22810" w:rsidRDefault="00682E75" w:rsidP="00682E75">
      <w:pPr>
        <w:ind w:left="142" w:firstLine="425"/>
      </w:pPr>
      <w:r w:rsidRPr="00F1352F">
        <w:t>I.3.3 Místopisy bodů vytyčovací sítě</w:t>
      </w:r>
    </w:p>
    <w:p w:rsidR="00682E75" w:rsidRPr="00682E75" w:rsidRDefault="00682E75" w:rsidP="00682E75">
      <w:pPr>
        <w:ind w:left="142"/>
      </w:pPr>
      <w:r>
        <w:t>I.4</w:t>
      </w:r>
      <w:r w:rsidRPr="00682E75">
        <w:t xml:space="preserve"> </w:t>
      </w:r>
      <w:r>
        <w:t>Koordinační vytyčovací výkres</w:t>
      </w:r>
    </w:p>
    <w:p w:rsidR="00682E75" w:rsidRPr="009E2576" w:rsidRDefault="00682E75" w:rsidP="00682E75">
      <w:pPr>
        <w:ind w:firstLine="567"/>
      </w:pPr>
      <w:r w:rsidRPr="009E2576">
        <w:t>I.4.1 Koordinační vytyčovací výkres</w:t>
      </w:r>
    </w:p>
    <w:p w:rsidR="00682E75" w:rsidRDefault="00682E75" w:rsidP="00682E75">
      <w:pPr>
        <w:ind w:left="142" w:firstLine="425"/>
      </w:pPr>
      <w:r w:rsidRPr="009E2576">
        <w:t>I.4.2 Seznam souřadnic vytyčovaných bodů (pouze digitálně)</w:t>
      </w:r>
    </w:p>
    <w:p w:rsidR="00682E75" w:rsidRPr="00682E75" w:rsidRDefault="00682E75" w:rsidP="00682E75">
      <w:pPr>
        <w:ind w:left="142"/>
      </w:pPr>
      <w:r>
        <w:t>I.5</w:t>
      </w:r>
      <w:r w:rsidRPr="00682E75">
        <w:t xml:space="preserve"> </w:t>
      </w:r>
      <w:r>
        <w:t>Obvod stavby</w:t>
      </w:r>
    </w:p>
    <w:p w:rsidR="00682E75" w:rsidRPr="009E2576" w:rsidRDefault="00682E75" w:rsidP="00682E75">
      <w:pPr>
        <w:ind w:firstLine="567"/>
      </w:pPr>
      <w:r>
        <w:tab/>
      </w:r>
      <w:r w:rsidRPr="009E2576">
        <w:t>I.5.1 Obvod stavby</w:t>
      </w:r>
    </w:p>
    <w:p w:rsidR="00682E75" w:rsidRDefault="00682E75" w:rsidP="00EC4475">
      <w:pPr>
        <w:ind w:firstLine="708"/>
      </w:pPr>
      <w:r w:rsidRPr="009E2576">
        <w:t>I.5.2 Seznam souřadnic obvodu stavby</w:t>
      </w:r>
    </w:p>
    <w:p w:rsidR="00EC4475" w:rsidRPr="00F1352F" w:rsidRDefault="00EC4475" w:rsidP="00EC4475">
      <w:r>
        <w:t xml:space="preserve">  I.6</w:t>
      </w:r>
      <w:r w:rsidRPr="00682E75">
        <w:t xml:space="preserve"> </w:t>
      </w:r>
      <w:r>
        <w:t>Geodetické a mapové podklady</w:t>
      </w:r>
      <w:r w:rsidR="009B3248">
        <w:t xml:space="preserve"> (pouze digitálně)</w:t>
      </w:r>
    </w:p>
    <w:p w:rsidR="00EC4475" w:rsidRPr="00682E75" w:rsidRDefault="00EC4475" w:rsidP="00EC4475">
      <w:pPr>
        <w:ind w:left="142" w:firstLine="425"/>
      </w:pPr>
      <w:r>
        <w:tab/>
      </w:r>
      <w:r w:rsidRPr="00682E75">
        <w:t>I.</w:t>
      </w:r>
      <w:r>
        <w:t>6</w:t>
      </w:r>
      <w:r w:rsidRPr="00682E75">
        <w:t xml:space="preserve">.1 Situace </w:t>
      </w:r>
    </w:p>
    <w:p w:rsidR="00EC4475" w:rsidRPr="00682E75" w:rsidRDefault="00EC4475" w:rsidP="00EC4475">
      <w:pPr>
        <w:ind w:left="142" w:firstLine="566"/>
      </w:pPr>
      <w:r w:rsidRPr="00682E75">
        <w:t>I.</w:t>
      </w:r>
      <w:r>
        <w:t>6</w:t>
      </w:r>
      <w:r w:rsidRPr="00682E75">
        <w:t>.</w:t>
      </w:r>
      <w:r>
        <w:t>2</w:t>
      </w:r>
      <w:r w:rsidRPr="00682E75">
        <w:t xml:space="preserve"> Seznam souřadnic podrobných bodů </w:t>
      </w:r>
    </w:p>
    <w:p w:rsidR="00EC4475" w:rsidRPr="00682E75" w:rsidRDefault="00EC4475" w:rsidP="00EC4475">
      <w:pPr>
        <w:ind w:left="142" w:firstLine="566"/>
      </w:pPr>
      <w:r w:rsidRPr="00682E75">
        <w:t>I.</w:t>
      </w:r>
      <w:r>
        <w:t>6</w:t>
      </w:r>
      <w:r w:rsidRPr="00682E75">
        <w:t>.</w:t>
      </w:r>
      <w:r>
        <w:t>3</w:t>
      </w:r>
      <w:r w:rsidRPr="00682E75">
        <w:t xml:space="preserve"> </w:t>
      </w:r>
      <w:r w:rsidR="00A253B3">
        <w:t xml:space="preserve">Podklady </w:t>
      </w:r>
    </w:p>
    <w:p w:rsidR="00682E75" w:rsidRPr="00EB3DB2" w:rsidRDefault="00682E75" w:rsidP="00682E75"/>
    <w:sectPr w:rsidR="00682E75" w:rsidRPr="00EB3DB2" w:rsidSect="00DC408C">
      <w:headerReference w:type="default" r:id="rId7"/>
      <w:pgSz w:w="11906" w:h="16838"/>
      <w:pgMar w:top="1560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7FD" w:rsidRDefault="00A257FD" w:rsidP="00A257FD">
      <w:pPr>
        <w:spacing w:before="0" w:line="240" w:lineRule="auto"/>
      </w:pPr>
      <w:r>
        <w:separator/>
      </w:r>
    </w:p>
  </w:endnote>
  <w:endnote w:type="continuationSeparator" w:id="0">
    <w:p w:rsidR="00A257FD" w:rsidRDefault="00A257FD" w:rsidP="00A257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7FD" w:rsidRDefault="00A257FD" w:rsidP="00A257FD">
      <w:pPr>
        <w:spacing w:before="0" w:line="240" w:lineRule="auto"/>
      </w:pPr>
      <w:r>
        <w:separator/>
      </w:r>
    </w:p>
  </w:footnote>
  <w:footnote w:type="continuationSeparator" w:id="0">
    <w:p w:rsidR="00A257FD" w:rsidRDefault="00A257FD" w:rsidP="00A257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DAD" w:rsidRDefault="00021FCC" w:rsidP="00840CA8">
    <w:pPr>
      <w:pStyle w:val="Zhlav"/>
      <w:tabs>
        <w:tab w:val="clear" w:pos="4536"/>
        <w:tab w:val="clear" w:pos="9072"/>
        <w:tab w:val="left" w:pos="5415"/>
      </w:tabs>
    </w:pPr>
    <w:r w:rsidRPr="006A0E54">
      <w:t xml:space="preserve">Rekonstrukce TV v </w:t>
    </w:r>
    <w:proofErr w:type="spellStart"/>
    <w:r w:rsidRPr="006A0E54">
      <w:t>žst</w:t>
    </w:r>
    <w:proofErr w:type="spellEnd"/>
    <w:r w:rsidRPr="006A0E54">
      <w:t>. Přerov přednádraží, II. Etapa</w:t>
    </w:r>
    <w:r w:rsidR="00840CA8" w:rsidRPr="00840CA8">
      <w:tab/>
    </w:r>
    <w:r w:rsidR="00560E4A">
      <w:t xml:space="preserve">       </w:t>
    </w:r>
    <w:r w:rsidR="00AD1BA6">
      <w:t xml:space="preserve"> </w:t>
    </w:r>
    <w:r w:rsidR="00560E4A">
      <w:t xml:space="preserve">     </w:t>
    </w:r>
    <w:r w:rsidR="00AD1BA6">
      <w:t xml:space="preserve">Dokumentace </w:t>
    </w:r>
    <w:r w:rsidR="009C0D86">
      <w:t>pro stavební povolení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DAF"/>
    <w:multiLevelType w:val="hybridMultilevel"/>
    <w:tmpl w:val="1C5A0B6A"/>
    <w:lvl w:ilvl="0" w:tplc="A9186A5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C7E97"/>
    <w:multiLevelType w:val="hybridMultilevel"/>
    <w:tmpl w:val="85D48946"/>
    <w:lvl w:ilvl="0" w:tplc="D388C5E2">
      <w:start w:val="1"/>
      <w:numFmt w:val="decimal"/>
      <w:pStyle w:val="Nadpis3"/>
      <w:lvlText w:val="E.3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A9B"/>
    <w:multiLevelType w:val="hybridMultilevel"/>
    <w:tmpl w:val="A14EBE08"/>
    <w:lvl w:ilvl="0" w:tplc="44B2ABC8">
      <w:start w:val="5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1D626C"/>
    <w:multiLevelType w:val="hybridMultilevel"/>
    <w:tmpl w:val="9CBEC792"/>
    <w:lvl w:ilvl="0" w:tplc="623ADC38">
      <w:start w:val="1"/>
      <w:numFmt w:val="decimal"/>
      <w:lvlText w:val="I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6E42BDB"/>
    <w:multiLevelType w:val="multilevel"/>
    <w:tmpl w:val="9B3CD7F2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I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DF7B8D"/>
    <w:multiLevelType w:val="hybridMultilevel"/>
    <w:tmpl w:val="6D8CEFEA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B7BEA"/>
    <w:multiLevelType w:val="hybridMultilevel"/>
    <w:tmpl w:val="3884A90C"/>
    <w:lvl w:ilvl="0" w:tplc="51B0310A">
      <w:start w:val="2"/>
      <w:numFmt w:val="decimal"/>
      <w:lvlText w:val="I.1.%1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07"/>
    <w:rsid w:val="00005AB4"/>
    <w:rsid w:val="00021FCC"/>
    <w:rsid w:val="00070502"/>
    <w:rsid w:val="000716A7"/>
    <w:rsid w:val="0008138D"/>
    <w:rsid w:val="00085C00"/>
    <w:rsid w:val="00087012"/>
    <w:rsid w:val="000A2086"/>
    <w:rsid w:val="000B01AE"/>
    <w:rsid w:val="000B515B"/>
    <w:rsid w:val="000C161C"/>
    <w:rsid w:val="000C4967"/>
    <w:rsid w:val="000E205F"/>
    <w:rsid w:val="000E7F22"/>
    <w:rsid w:val="00105DDB"/>
    <w:rsid w:val="00121D4E"/>
    <w:rsid w:val="0012312A"/>
    <w:rsid w:val="00123C50"/>
    <w:rsid w:val="00132F44"/>
    <w:rsid w:val="0014397A"/>
    <w:rsid w:val="00151B75"/>
    <w:rsid w:val="00181E80"/>
    <w:rsid w:val="0018263E"/>
    <w:rsid w:val="00182B28"/>
    <w:rsid w:val="001C79F0"/>
    <w:rsid w:val="001D4F5F"/>
    <w:rsid w:val="00210131"/>
    <w:rsid w:val="00210EC5"/>
    <w:rsid w:val="0022271D"/>
    <w:rsid w:val="0022493E"/>
    <w:rsid w:val="00236C94"/>
    <w:rsid w:val="00245A84"/>
    <w:rsid w:val="002530B6"/>
    <w:rsid w:val="00260C19"/>
    <w:rsid w:val="0026467F"/>
    <w:rsid w:val="002746B4"/>
    <w:rsid w:val="0028231E"/>
    <w:rsid w:val="002877C9"/>
    <w:rsid w:val="002877D7"/>
    <w:rsid w:val="002919CC"/>
    <w:rsid w:val="002A224F"/>
    <w:rsid w:val="002A5503"/>
    <w:rsid w:val="002B2EF7"/>
    <w:rsid w:val="002B4992"/>
    <w:rsid w:val="002E6E6B"/>
    <w:rsid w:val="002F3245"/>
    <w:rsid w:val="00304649"/>
    <w:rsid w:val="00311F3D"/>
    <w:rsid w:val="00312519"/>
    <w:rsid w:val="00325ECD"/>
    <w:rsid w:val="003262F8"/>
    <w:rsid w:val="003267AC"/>
    <w:rsid w:val="00335A3A"/>
    <w:rsid w:val="00335F74"/>
    <w:rsid w:val="00340B35"/>
    <w:rsid w:val="00377A8F"/>
    <w:rsid w:val="00381E82"/>
    <w:rsid w:val="003826AC"/>
    <w:rsid w:val="003A5B3D"/>
    <w:rsid w:val="003B09A8"/>
    <w:rsid w:val="003B0BC9"/>
    <w:rsid w:val="003D101B"/>
    <w:rsid w:val="003D307E"/>
    <w:rsid w:val="003D40BF"/>
    <w:rsid w:val="003E58BD"/>
    <w:rsid w:val="003F5A9F"/>
    <w:rsid w:val="00401369"/>
    <w:rsid w:val="00406C89"/>
    <w:rsid w:val="00412029"/>
    <w:rsid w:val="00412DAD"/>
    <w:rsid w:val="00413879"/>
    <w:rsid w:val="00416B54"/>
    <w:rsid w:val="00424E01"/>
    <w:rsid w:val="00463F45"/>
    <w:rsid w:val="00481FC7"/>
    <w:rsid w:val="00482FBF"/>
    <w:rsid w:val="00494DC2"/>
    <w:rsid w:val="00496DAE"/>
    <w:rsid w:val="004A0157"/>
    <w:rsid w:val="004A2CF4"/>
    <w:rsid w:val="004B4DAA"/>
    <w:rsid w:val="004D785A"/>
    <w:rsid w:val="004F38A9"/>
    <w:rsid w:val="004F4E5B"/>
    <w:rsid w:val="005022B6"/>
    <w:rsid w:val="00525259"/>
    <w:rsid w:val="00542667"/>
    <w:rsid w:val="005463F1"/>
    <w:rsid w:val="00555AFF"/>
    <w:rsid w:val="00555F88"/>
    <w:rsid w:val="00560E4A"/>
    <w:rsid w:val="00562CE3"/>
    <w:rsid w:val="00582972"/>
    <w:rsid w:val="00590E7B"/>
    <w:rsid w:val="00594F02"/>
    <w:rsid w:val="005A05C3"/>
    <w:rsid w:val="005B5381"/>
    <w:rsid w:val="005E412F"/>
    <w:rsid w:val="005F5B92"/>
    <w:rsid w:val="005F7541"/>
    <w:rsid w:val="0061320D"/>
    <w:rsid w:val="00626506"/>
    <w:rsid w:val="00630BAE"/>
    <w:rsid w:val="006366D4"/>
    <w:rsid w:val="00640688"/>
    <w:rsid w:val="00641321"/>
    <w:rsid w:val="006435AB"/>
    <w:rsid w:val="00647904"/>
    <w:rsid w:val="00676240"/>
    <w:rsid w:val="00682E75"/>
    <w:rsid w:val="006932B8"/>
    <w:rsid w:val="006A0E54"/>
    <w:rsid w:val="006A3F38"/>
    <w:rsid w:val="006B4ED6"/>
    <w:rsid w:val="006B6A15"/>
    <w:rsid w:val="006D2AC8"/>
    <w:rsid w:val="006D4DE0"/>
    <w:rsid w:val="006F08B8"/>
    <w:rsid w:val="006F284A"/>
    <w:rsid w:val="006F2B26"/>
    <w:rsid w:val="006F721D"/>
    <w:rsid w:val="00706B48"/>
    <w:rsid w:val="00706E90"/>
    <w:rsid w:val="007135BA"/>
    <w:rsid w:val="0071668B"/>
    <w:rsid w:val="00755ADF"/>
    <w:rsid w:val="00757C01"/>
    <w:rsid w:val="00772E02"/>
    <w:rsid w:val="00780C53"/>
    <w:rsid w:val="007B5C09"/>
    <w:rsid w:val="007B7E91"/>
    <w:rsid w:val="007C5568"/>
    <w:rsid w:val="007D3F21"/>
    <w:rsid w:val="007E0145"/>
    <w:rsid w:val="007F04B4"/>
    <w:rsid w:val="007F0618"/>
    <w:rsid w:val="008213E9"/>
    <w:rsid w:val="00833A19"/>
    <w:rsid w:val="008340DF"/>
    <w:rsid w:val="00840CA8"/>
    <w:rsid w:val="00842F92"/>
    <w:rsid w:val="00843C5A"/>
    <w:rsid w:val="00846958"/>
    <w:rsid w:val="008625D7"/>
    <w:rsid w:val="008643AC"/>
    <w:rsid w:val="00875250"/>
    <w:rsid w:val="008779D2"/>
    <w:rsid w:val="00880287"/>
    <w:rsid w:val="008B4559"/>
    <w:rsid w:val="008C297B"/>
    <w:rsid w:val="008C38F2"/>
    <w:rsid w:val="008C3FD0"/>
    <w:rsid w:val="008E4974"/>
    <w:rsid w:val="008F0963"/>
    <w:rsid w:val="008F374D"/>
    <w:rsid w:val="009010AF"/>
    <w:rsid w:val="009361F9"/>
    <w:rsid w:val="009455A4"/>
    <w:rsid w:val="009477BC"/>
    <w:rsid w:val="0095555C"/>
    <w:rsid w:val="00961DFE"/>
    <w:rsid w:val="00973E66"/>
    <w:rsid w:val="00990D55"/>
    <w:rsid w:val="009B3248"/>
    <w:rsid w:val="009B7B24"/>
    <w:rsid w:val="009C0D86"/>
    <w:rsid w:val="009D46E2"/>
    <w:rsid w:val="009E2576"/>
    <w:rsid w:val="009E4495"/>
    <w:rsid w:val="009F7741"/>
    <w:rsid w:val="00A12257"/>
    <w:rsid w:val="00A16045"/>
    <w:rsid w:val="00A2244A"/>
    <w:rsid w:val="00A252E2"/>
    <w:rsid w:val="00A253B3"/>
    <w:rsid w:val="00A257FD"/>
    <w:rsid w:val="00A27817"/>
    <w:rsid w:val="00A4491B"/>
    <w:rsid w:val="00A52EDD"/>
    <w:rsid w:val="00A6767E"/>
    <w:rsid w:val="00A76517"/>
    <w:rsid w:val="00A77BDE"/>
    <w:rsid w:val="00A91E55"/>
    <w:rsid w:val="00AA2610"/>
    <w:rsid w:val="00AB6086"/>
    <w:rsid w:val="00AC2602"/>
    <w:rsid w:val="00AD1BA6"/>
    <w:rsid w:val="00B04D13"/>
    <w:rsid w:val="00B0698B"/>
    <w:rsid w:val="00B13226"/>
    <w:rsid w:val="00B1408C"/>
    <w:rsid w:val="00B17E64"/>
    <w:rsid w:val="00B35E45"/>
    <w:rsid w:val="00B42811"/>
    <w:rsid w:val="00B44D45"/>
    <w:rsid w:val="00B51D07"/>
    <w:rsid w:val="00B52CE5"/>
    <w:rsid w:val="00B7464B"/>
    <w:rsid w:val="00B87D4D"/>
    <w:rsid w:val="00B92474"/>
    <w:rsid w:val="00BC6DE9"/>
    <w:rsid w:val="00BD0554"/>
    <w:rsid w:val="00BD2520"/>
    <w:rsid w:val="00C01A04"/>
    <w:rsid w:val="00C10DAA"/>
    <w:rsid w:val="00C215A5"/>
    <w:rsid w:val="00C2710F"/>
    <w:rsid w:val="00C305D9"/>
    <w:rsid w:val="00C33500"/>
    <w:rsid w:val="00C3742C"/>
    <w:rsid w:val="00C40C53"/>
    <w:rsid w:val="00C424D0"/>
    <w:rsid w:val="00C4561E"/>
    <w:rsid w:val="00C60D1A"/>
    <w:rsid w:val="00C625DF"/>
    <w:rsid w:val="00C63343"/>
    <w:rsid w:val="00C652F0"/>
    <w:rsid w:val="00C66636"/>
    <w:rsid w:val="00C82CDA"/>
    <w:rsid w:val="00C9471A"/>
    <w:rsid w:val="00CA5011"/>
    <w:rsid w:val="00CA50A3"/>
    <w:rsid w:val="00CA6D3E"/>
    <w:rsid w:val="00CC5D84"/>
    <w:rsid w:val="00CD3CFC"/>
    <w:rsid w:val="00CD77EB"/>
    <w:rsid w:val="00CE6412"/>
    <w:rsid w:val="00D16B2F"/>
    <w:rsid w:val="00D22810"/>
    <w:rsid w:val="00D40D63"/>
    <w:rsid w:val="00D462E0"/>
    <w:rsid w:val="00D46834"/>
    <w:rsid w:val="00D52CF5"/>
    <w:rsid w:val="00D73723"/>
    <w:rsid w:val="00D922A7"/>
    <w:rsid w:val="00D9467F"/>
    <w:rsid w:val="00DA2365"/>
    <w:rsid w:val="00DA431B"/>
    <w:rsid w:val="00DC408C"/>
    <w:rsid w:val="00DD32BA"/>
    <w:rsid w:val="00DD4D89"/>
    <w:rsid w:val="00DE1734"/>
    <w:rsid w:val="00DE43D5"/>
    <w:rsid w:val="00DF2C56"/>
    <w:rsid w:val="00DF2F6B"/>
    <w:rsid w:val="00E01EFD"/>
    <w:rsid w:val="00E054DF"/>
    <w:rsid w:val="00E251F4"/>
    <w:rsid w:val="00E26D1D"/>
    <w:rsid w:val="00E42C40"/>
    <w:rsid w:val="00E524DD"/>
    <w:rsid w:val="00E6131C"/>
    <w:rsid w:val="00E8762D"/>
    <w:rsid w:val="00E91585"/>
    <w:rsid w:val="00EA5787"/>
    <w:rsid w:val="00EB3DB2"/>
    <w:rsid w:val="00EC4475"/>
    <w:rsid w:val="00ED0FB0"/>
    <w:rsid w:val="00EF3C86"/>
    <w:rsid w:val="00EF6C5F"/>
    <w:rsid w:val="00F2716A"/>
    <w:rsid w:val="00F317F1"/>
    <w:rsid w:val="00F34C3D"/>
    <w:rsid w:val="00F35BB1"/>
    <w:rsid w:val="00F5727B"/>
    <w:rsid w:val="00F633BD"/>
    <w:rsid w:val="00F65707"/>
    <w:rsid w:val="00F67F5A"/>
    <w:rsid w:val="00F77310"/>
    <w:rsid w:val="00FA1051"/>
    <w:rsid w:val="00FB4FFC"/>
    <w:rsid w:val="00FC7029"/>
    <w:rsid w:val="00FE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5:docId w15:val="{AE0B9467-B685-4426-9149-3688C47D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6506"/>
    <w:pPr>
      <w:spacing w:before="120" w:line="360" w:lineRule="auto"/>
      <w:jc w:val="both"/>
    </w:pPr>
    <w:rPr>
      <w:rFonts w:ascii="Arial" w:hAnsi="Arial" w:cs="Arial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9467F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10131"/>
    <w:pPr>
      <w:keepNext/>
      <w:keepLines/>
      <w:spacing w:before="360"/>
      <w:outlineLvl w:val="1"/>
    </w:pPr>
    <w:rPr>
      <w:rFonts w:eastAsia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210131"/>
    <w:pPr>
      <w:keepNext/>
      <w:keepLines/>
      <w:numPr>
        <w:numId w:val="2"/>
      </w:numPr>
      <w:spacing w:before="0"/>
      <w:outlineLvl w:val="2"/>
    </w:pPr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9467F"/>
    <w:rPr>
      <w:rFonts w:ascii="Arial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210131"/>
    <w:rPr>
      <w:rFonts w:ascii="Arial" w:hAnsi="Arial" w:cs="Arial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210131"/>
    <w:rPr>
      <w:rFonts w:ascii="Arial" w:hAnsi="Arial" w:cs="Arial"/>
      <w:sz w:val="24"/>
      <w:szCs w:val="24"/>
    </w:rPr>
  </w:style>
  <w:style w:type="paragraph" w:styleId="Bezmezer">
    <w:name w:val="No Spacing"/>
    <w:basedOn w:val="Prosttext"/>
    <w:uiPriority w:val="99"/>
    <w:qFormat/>
    <w:rsid w:val="00CA50A3"/>
    <w:rPr>
      <w:rFonts w:ascii="Cambria" w:hAnsi="Cambria" w:cs="Cambria"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rsid w:val="00BD2520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D2520"/>
    <w:rPr>
      <w:rFonts w:ascii="Consolas" w:hAnsi="Consolas" w:cs="Consolas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4F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FFC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257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57FD"/>
    <w:rPr>
      <w:rFonts w:ascii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57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57FD"/>
    <w:rPr>
      <w:rFonts w:ascii="Arial" w:hAnsi="Arial" w:cs="Arial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7372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43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4647</TotalTime>
  <Pages>6</Pages>
  <Words>1312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Železniční zastávka Frenštát pod Radhoštěm</vt:lpstr>
    </vt:vector>
  </TitlesOfParts>
  <Company>MM</Company>
  <LinksUpToDate>false</LinksUpToDate>
  <CharactersWithSpaces>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Železniční zastávka Frenštát pod Radhoštěm</dc:title>
  <dc:creator>Kačenka</dc:creator>
  <cp:lastModifiedBy>Sabo Stanislav Ing.</cp:lastModifiedBy>
  <cp:revision>128</cp:revision>
  <cp:lastPrinted>2019-03-27T11:37:00Z</cp:lastPrinted>
  <dcterms:created xsi:type="dcterms:W3CDTF">2015-04-02T10:53:00Z</dcterms:created>
  <dcterms:modified xsi:type="dcterms:W3CDTF">2019-12-16T15:42:00Z</dcterms:modified>
</cp:coreProperties>
</file>